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AEFB3" w14:textId="6C072C04" w:rsidR="001C53D0" w:rsidRPr="007D77F6" w:rsidRDefault="002829E5">
      <w:pPr>
        <w:rPr>
          <w:b/>
          <w:bCs/>
          <w:sz w:val="36"/>
          <w:szCs w:val="36"/>
        </w:rPr>
      </w:pPr>
      <w:r w:rsidRPr="007D77F6">
        <w:rPr>
          <w:b/>
          <w:bCs/>
          <w:sz w:val="36"/>
          <w:szCs w:val="36"/>
        </w:rPr>
        <w:t>Student Loan</w:t>
      </w:r>
      <w:r w:rsidR="00A9550E" w:rsidRPr="007D77F6">
        <w:rPr>
          <w:b/>
          <w:bCs/>
          <w:sz w:val="36"/>
          <w:szCs w:val="36"/>
        </w:rPr>
        <w:t xml:space="preserve"> Accumulation</w:t>
      </w:r>
      <w:r w:rsidR="001C53D0" w:rsidRPr="007D77F6">
        <w:rPr>
          <w:b/>
          <w:bCs/>
          <w:sz w:val="36"/>
          <w:szCs w:val="36"/>
        </w:rPr>
        <w:t xml:space="preserve"> in England </w:t>
      </w:r>
      <w:r w:rsidR="00152792" w:rsidRPr="007D77F6">
        <w:rPr>
          <w:b/>
          <w:bCs/>
          <w:sz w:val="36"/>
          <w:szCs w:val="36"/>
        </w:rPr>
        <w:t xml:space="preserve">and </w:t>
      </w:r>
      <w:r w:rsidR="007D77F6" w:rsidRPr="007D77F6">
        <w:rPr>
          <w:b/>
          <w:bCs/>
          <w:sz w:val="36"/>
          <w:szCs w:val="36"/>
        </w:rPr>
        <w:t>the Contemporary</w:t>
      </w:r>
      <w:r w:rsidR="00F22D9A" w:rsidRPr="007D77F6">
        <w:rPr>
          <w:b/>
          <w:bCs/>
          <w:sz w:val="36"/>
          <w:szCs w:val="36"/>
        </w:rPr>
        <w:t xml:space="preserve"> Decline in </w:t>
      </w:r>
      <w:r w:rsidR="007D77F6" w:rsidRPr="007D77F6">
        <w:rPr>
          <w:b/>
          <w:bCs/>
          <w:sz w:val="36"/>
          <w:szCs w:val="36"/>
        </w:rPr>
        <w:t>the Birth Rate and Increase in the Abortion Rate</w:t>
      </w:r>
      <w:r w:rsidR="007D77F6">
        <w:rPr>
          <w:b/>
          <w:bCs/>
          <w:sz w:val="36"/>
          <w:szCs w:val="36"/>
        </w:rPr>
        <w:t>. Housing is also a factor.</w:t>
      </w:r>
    </w:p>
    <w:p w14:paraId="4B0A220C" w14:textId="77777777" w:rsidR="008C4398" w:rsidRDefault="008C4398" w:rsidP="00145B71"/>
    <w:p w14:paraId="5FEB83BB" w14:textId="7A6C23BE" w:rsidR="008C4398" w:rsidRPr="00145B71" w:rsidRDefault="00145B71" w:rsidP="00145B71">
      <w:r w:rsidRPr="00145B71">
        <w:t xml:space="preserve">The UK student loan system has evolved through several repayment plans as tuition fees and higher-education funding have changed. </w:t>
      </w:r>
    </w:p>
    <w:p w14:paraId="5F5CCBD9" w14:textId="2615D860" w:rsidR="00C23260" w:rsidRDefault="00145B71" w:rsidP="00145B71">
      <w:r w:rsidRPr="00B3354D">
        <w:t xml:space="preserve">Plan 1 </w:t>
      </w:r>
      <w:r w:rsidR="00D51938">
        <w:t xml:space="preserve">began for </w:t>
      </w:r>
      <w:r w:rsidR="00D51938" w:rsidRPr="00B65FD8">
        <w:rPr>
          <w:b/>
          <w:bCs/>
        </w:rPr>
        <w:t>students beginning courses after September 1998</w:t>
      </w:r>
      <w:r w:rsidR="00D51938">
        <w:t xml:space="preserve"> </w:t>
      </w:r>
      <w:r w:rsidR="001C21AA">
        <w:t xml:space="preserve">and </w:t>
      </w:r>
      <w:r w:rsidRPr="00B3354D">
        <w:t xml:space="preserve">covers the older generation of undergraduate loans and generally involved smaller initial debts and a </w:t>
      </w:r>
      <w:r w:rsidRPr="00293839">
        <w:rPr>
          <w:b/>
          <w:bCs/>
        </w:rPr>
        <w:t>9%</w:t>
      </w:r>
      <w:r w:rsidRPr="00B3354D">
        <w:t xml:space="preserve"> repayment rate on earnings above the applicable threshold. </w:t>
      </w:r>
      <w:r w:rsidR="00931DDB" w:rsidRPr="00B3354D">
        <w:t xml:space="preserve">Plan 1 </w:t>
      </w:r>
      <w:r w:rsidR="000A41AB">
        <w:t>charges</w:t>
      </w:r>
      <w:r w:rsidR="00931DDB" w:rsidRPr="00B3354D">
        <w:t xml:space="preserve"> the RPI inflation</w:t>
      </w:r>
      <w:r w:rsidR="00CF0FA7">
        <w:t xml:space="preserve"> rate</w:t>
      </w:r>
      <w:r w:rsidR="00931DDB" w:rsidRPr="00B3354D">
        <w:t xml:space="preserve"> </w:t>
      </w:r>
      <w:r w:rsidR="00931DDB" w:rsidRPr="00293839">
        <w:rPr>
          <w:b/>
          <w:bCs/>
        </w:rPr>
        <w:t>+ 1%</w:t>
      </w:r>
      <w:r w:rsidR="000A41AB">
        <w:rPr>
          <w:b/>
          <w:bCs/>
        </w:rPr>
        <w:t xml:space="preserve"> </w:t>
      </w:r>
      <w:r w:rsidR="000A41AB" w:rsidRPr="000A41AB">
        <w:t>as interest</w:t>
      </w:r>
      <w:r w:rsidR="00931DDB" w:rsidRPr="00B3354D">
        <w:t xml:space="preserve">. </w:t>
      </w:r>
    </w:p>
    <w:p w14:paraId="0DEF4843" w14:textId="26EC19D9" w:rsidR="00145B71" w:rsidRDefault="00931DDB" w:rsidP="00145B71">
      <w:r w:rsidRPr="00B3354D">
        <w:t xml:space="preserve">This generally kept interest comparatively low: for example, it was </w:t>
      </w:r>
      <w:r w:rsidRPr="00293839">
        <w:rPr>
          <w:b/>
          <w:bCs/>
        </w:rPr>
        <w:t>0.9% in 2015/16</w:t>
      </w:r>
      <w:r w:rsidR="009058B2">
        <w:t xml:space="preserve"> and </w:t>
      </w:r>
      <w:r w:rsidRPr="00293839">
        <w:rPr>
          <w:b/>
          <w:bCs/>
        </w:rPr>
        <w:t>1.1% in 2020/21</w:t>
      </w:r>
      <w:r w:rsidRPr="00B3354D">
        <w:t xml:space="preserve">, before rising sharply with inflation and interest rates to </w:t>
      </w:r>
      <w:r w:rsidRPr="00293839">
        <w:rPr>
          <w:b/>
          <w:bCs/>
        </w:rPr>
        <w:t>6.25%</w:t>
      </w:r>
      <w:r w:rsidRPr="00B3354D">
        <w:t xml:space="preserve"> during much of 2023/24. For 1 September 2025–31 August 2026, the rate is </w:t>
      </w:r>
      <w:r w:rsidRPr="00293839">
        <w:rPr>
          <w:b/>
          <w:bCs/>
        </w:rPr>
        <w:t>3.2%</w:t>
      </w:r>
      <w:r w:rsidRPr="00B3354D">
        <w:t>.</w:t>
      </w:r>
    </w:p>
    <w:p w14:paraId="431426C0" w14:textId="77777777" w:rsidR="00E455CD" w:rsidRPr="00B3354D" w:rsidRDefault="00E455CD" w:rsidP="00145B71"/>
    <w:p w14:paraId="1E0330F9" w14:textId="7CDE79FF" w:rsidR="00E455CD" w:rsidRDefault="00145B71" w:rsidP="00145B71">
      <w:r w:rsidRPr="00B3354D">
        <w:t xml:space="preserve">Plan 2, introduced for the </w:t>
      </w:r>
      <w:r w:rsidRPr="00CA202E">
        <w:rPr>
          <w:b/>
          <w:bCs/>
        </w:rPr>
        <w:t>higher-fee system from 2012</w:t>
      </w:r>
      <w:r w:rsidRPr="00B3354D">
        <w:t xml:space="preserve">, substantially increased the amount many English graduates borrowed and </w:t>
      </w:r>
      <w:r w:rsidR="00442277" w:rsidRPr="00B3354D">
        <w:t xml:space="preserve">also </w:t>
      </w:r>
      <w:r w:rsidR="00B36345">
        <w:t>featured</w:t>
      </w:r>
      <w:r w:rsidR="00442277" w:rsidRPr="00B3354D">
        <w:t xml:space="preserve"> a substantially more expensive interest structure. </w:t>
      </w:r>
    </w:p>
    <w:p w14:paraId="2256822E" w14:textId="039543A6" w:rsidR="00145B71" w:rsidRDefault="00442277" w:rsidP="00145B71">
      <w:r w:rsidRPr="00B3354D">
        <w:t xml:space="preserve">While studying, borrowers are normally charged </w:t>
      </w:r>
      <w:r w:rsidRPr="00293839">
        <w:rPr>
          <w:b/>
          <w:bCs/>
        </w:rPr>
        <w:t>RPI + 3%</w:t>
      </w:r>
      <w:r w:rsidR="00754C25">
        <w:rPr>
          <w:b/>
          <w:bCs/>
        </w:rPr>
        <w:t xml:space="preserve"> </w:t>
      </w:r>
      <w:r w:rsidR="00754C25" w:rsidRPr="00754C25">
        <w:t>on outstanding loans</w:t>
      </w:r>
      <w:r w:rsidRPr="00B3354D">
        <w:t xml:space="preserve">. After becoming liable to repay, the rate varies from </w:t>
      </w:r>
      <w:r w:rsidR="0088135F">
        <w:t xml:space="preserve">the </w:t>
      </w:r>
      <w:r w:rsidRPr="00B3354D">
        <w:t>RPI</w:t>
      </w:r>
      <w:r w:rsidR="0088135F">
        <w:t xml:space="preserve"> rate</w:t>
      </w:r>
      <w:r w:rsidRPr="00B3354D">
        <w:t xml:space="preserve"> to </w:t>
      </w:r>
      <w:r w:rsidR="0088135F">
        <w:t xml:space="preserve">the </w:t>
      </w:r>
      <w:r w:rsidRPr="00B3354D">
        <w:t>RPI</w:t>
      </w:r>
      <w:r w:rsidR="0088135F">
        <w:t xml:space="preserve"> rate</w:t>
      </w:r>
      <w:r w:rsidRPr="00B3354D">
        <w:t xml:space="preserve"> + 3% depending on income. The </w:t>
      </w:r>
      <w:r w:rsidRPr="00AD6748">
        <w:rPr>
          <w:b/>
          <w:bCs/>
        </w:rPr>
        <w:t>current RPI + 3% maximum</w:t>
      </w:r>
      <w:r w:rsidRPr="00B3354D">
        <w:t xml:space="preserve"> is </w:t>
      </w:r>
      <w:r w:rsidRPr="00AD6748">
        <w:rPr>
          <w:b/>
          <w:bCs/>
        </w:rPr>
        <w:t>6.2%</w:t>
      </w:r>
      <w:r w:rsidRPr="00B3354D">
        <w:t>, although individual graduates may pay less depending on their circumstances and market-rate caps.</w:t>
      </w:r>
    </w:p>
    <w:p w14:paraId="08294B5D" w14:textId="77777777" w:rsidR="00E455CD" w:rsidRPr="00B3354D" w:rsidRDefault="00E455CD" w:rsidP="00145B71"/>
    <w:p w14:paraId="286A33B3" w14:textId="290102E3" w:rsidR="00E455CD" w:rsidRDefault="00145B71" w:rsidP="00145B71">
      <w:r w:rsidRPr="00B3354D">
        <w:t xml:space="preserve">Plan 3 is separate from the undergraduate sequence and applies to postgraduate student loans, with repayments of </w:t>
      </w:r>
      <w:r w:rsidRPr="00AD6748">
        <w:rPr>
          <w:b/>
          <w:bCs/>
        </w:rPr>
        <w:t>6%</w:t>
      </w:r>
      <w:r w:rsidRPr="00B3354D">
        <w:t xml:space="preserve"> of earnings above its threshold. </w:t>
      </w:r>
      <w:r w:rsidR="00A2422C" w:rsidRPr="00B3354D">
        <w:t xml:space="preserve">Plan 3 postgraduate loans have generally charged </w:t>
      </w:r>
      <w:r w:rsidR="00A2422C" w:rsidRPr="00AD6748">
        <w:rPr>
          <w:b/>
          <w:bCs/>
        </w:rPr>
        <w:t>RPI + 3%</w:t>
      </w:r>
      <w:r w:rsidR="00A2422C" w:rsidRPr="00B3354D">
        <w:t>, subject to the prevailing</w:t>
      </w:r>
      <w:r w:rsidR="00D4441B">
        <w:t xml:space="preserve"> </w:t>
      </w:r>
      <w:r w:rsidR="00A2422C" w:rsidRPr="00B3354D">
        <w:t xml:space="preserve">market-rate cap. </w:t>
      </w:r>
    </w:p>
    <w:p w14:paraId="4AB49819" w14:textId="7B7A931A" w:rsidR="00A25A78" w:rsidRDefault="00A2422C" w:rsidP="00145B71">
      <w:r w:rsidRPr="00B3354D">
        <w:t xml:space="preserve">The rate was </w:t>
      </w:r>
      <w:r w:rsidRPr="00AD6748">
        <w:rPr>
          <w:b/>
          <w:bCs/>
        </w:rPr>
        <w:t>4.6% in 2016/17</w:t>
      </w:r>
      <w:r w:rsidRPr="00B3354D">
        <w:t xml:space="preserve">, reached </w:t>
      </w:r>
      <w:r w:rsidRPr="00AD6748">
        <w:rPr>
          <w:b/>
          <w:bCs/>
        </w:rPr>
        <w:t>6.3% in 2018/19</w:t>
      </w:r>
      <w:r w:rsidRPr="00B3354D">
        <w:t xml:space="preserve">, </w:t>
      </w:r>
      <w:r w:rsidRPr="00AD6748">
        <w:rPr>
          <w:b/>
          <w:bCs/>
        </w:rPr>
        <w:t>7.7% in 2023/24</w:t>
      </w:r>
      <w:r w:rsidRPr="00B3354D">
        <w:t xml:space="preserve">, and </w:t>
      </w:r>
      <w:r w:rsidRPr="00AD6748">
        <w:rPr>
          <w:b/>
          <w:bCs/>
        </w:rPr>
        <w:t>7.3% in 2024/25</w:t>
      </w:r>
      <w:r w:rsidRPr="00B3354D">
        <w:t xml:space="preserve">. The rate for 1 September 2025–31 August 2026 is </w:t>
      </w:r>
      <w:r w:rsidRPr="00AD6748">
        <w:rPr>
          <w:b/>
          <w:bCs/>
        </w:rPr>
        <w:t>6.2%</w:t>
      </w:r>
      <w:r w:rsidRPr="00B3354D">
        <w:t>. This makes Plan 3 structurally one of the higher-interest student-loan arrangements.</w:t>
      </w:r>
    </w:p>
    <w:p w14:paraId="18825335" w14:textId="77777777" w:rsidR="008F4268" w:rsidRDefault="008F4268" w:rsidP="00145B71"/>
    <w:p w14:paraId="5A167203" w14:textId="77777777" w:rsidR="006E4DA1" w:rsidRDefault="00CC2FAF" w:rsidP="00145B71">
      <w:r w:rsidRPr="00CC2FAF">
        <w:t>Plan 4 applies to</w:t>
      </w:r>
      <w:r w:rsidR="00B410F9">
        <w:t xml:space="preserve"> </w:t>
      </w:r>
      <w:r w:rsidR="00B410F9" w:rsidRPr="00CA202E">
        <w:rPr>
          <w:b/>
          <w:bCs/>
        </w:rPr>
        <w:t>Scottish</w:t>
      </w:r>
      <w:r w:rsidRPr="00CA202E">
        <w:rPr>
          <w:b/>
          <w:bCs/>
        </w:rPr>
        <w:t xml:space="preserve"> borrowers funded through</w:t>
      </w:r>
      <w:r w:rsidR="004B6C25" w:rsidRPr="00CA202E">
        <w:rPr>
          <w:b/>
          <w:bCs/>
        </w:rPr>
        <w:t xml:space="preserve"> Student Awards Agency Scotland</w:t>
      </w:r>
      <w:r w:rsidRPr="00CA202E">
        <w:rPr>
          <w:b/>
          <w:bCs/>
        </w:rPr>
        <w:t xml:space="preserve"> </w:t>
      </w:r>
      <w:r w:rsidR="004B6C25" w:rsidRPr="00CA202E">
        <w:rPr>
          <w:b/>
          <w:bCs/>
        </w:rPr>
        <w:t>(</w:t>
      </w:r>
      <w:r w:rsidRPr="00CA202E">
        <w:rPr>
          <w:b/>
          <w:bCs/>
        </w:rPr>
        <w:t>SAAS</w:t>
      </w:r>
      <w:r w:rsidR="004B6C25" w:rsidRPr="00CA202E">
        <w:rPr>
          <w:b/>
          <w:bCs/>
        </w:rPr>
        <w:t>)</w:t>
      </w:r>
      <w:r w:rsidRPr="00CC2FAF">
        <w:t xml:space="preserve"> and replaced Plan 1 in April 2021 with borrowers repaying </w:t>
      </w:r>
      <w:r w:rsidRPr="00CC2FAF">
        <w:rPr>
          <w:b/>
          <w:bCs/>
        </w:rPr>
        <w:t>9%</w:t>
      </w:r>
      <w:r w:rsidRPr="00CC2FAF">
        <w:t xml:space="preserve"> of earnings above the Plan 4 threshold. </w:t>
      </w:r>
    </w:p>
    <w:p w14:paraId="2B300F49" w14:textId="43602273" w:rsidR="00CC2FAF" w:rsidRDefault="00CC2FAF" w:rsidP="00145B71">
      <w:r w:rsidRPr="00CC2FAF">
        <w:t xml:space="preserve">Interest is generally the RPI </w:t>
      </w:r>
      <w:r w:rsidR="00592B73">
        <w:t>r</w:t>
      </w:r>
      <w:r w:rsidRPr="00CC2FAF">
        <w:t xml:space="preserve">ate + 1%, with rates rising from historically low levels to </w:t>
      </w:r>
      <w:r w:rsidRPr="00CC2FAF">
        <w:rPr>
          <w:b/>
          <w:bCs/>
        </w:rPr>
        <w:t>6.25% in 2023/24</w:t>
      </w:r>
      <w:r w:rsidRPr="00CC2FAF">
        <w:t xml:space="preserve">, before falling to </w:t>
      </w:r>
      <w:r w:rsidRPr="00CC2FAF">
        <w:rPr>
          <w:b/>
          <w:bCs/>
        </w:rPr>
        <w:t>4.3% in 2024/25</w:t>
      </w:r>
      <w:r w:rsidRPr="00CC2FAF">
        <w:t xml:space="preserve"> and </w:t>
      </w:r>
      <w:r w:rsidRPr="00CC2FAF">
        <w:rPr>
          <w:b/>
          <w:bCs/>
        </w:rPr>
        <w:t>3.2% for 2025/26</w:t>
      </w:r>
      <w:r w:rsidRPr="00CC2FAF">
        <w:t xml:space="preserve">. </w:t>
      </w:r>
    </w:p>
    <w:p w14:paraId="7A0E1EB1" w14:textId="77777777" w:rsidR="006E4DA1" w:rsidRPr="00CC2FAF" w:rsidRDefault="006E4DA1" w:rsidP="00145B71"/>
    <w:p w14:paraId="4789126E" w14:textId="17751ECD" w:rsidR="006E4DA1" w:rsidRDefault="00145B71" w:rsidP="00145B71">
      <w:r w:rsidRPr="00B3354D">
        <w:t>Plan 5, introduced for new English undergraduates from 2023, replaced Plan 2 for new entrants</w:t>
      </w:r>
      <w:r w:rsidR="006E4DA1">
        <w:t xml:space="preserve"> to the loan scheme</w:t>
      </w:r>
      <w:r w:rsidRPr="00B3354D">
        <w:t>. It charges interest based on RPI rather than the Plan 2 RPI-plus-premium structure but combines this with a lower repayment threshold and a repayment period of up to 40 years.</w:t>
      </w:r>
      <w:r w:rsidR="006209F2">
        <w:t xml:space="preserve"> </w:t>
      </w:r>
    </w:p>
    <w:p w14:paraId="36CCA230" w14:textId="2A20CDEF" w:rsidR="00145B71" w:rsidRDefault="0065611D" w:rsidP="00145B71">
      <w:r w:rsidRPr="00B3354D">
        <w:t xml:space="preserve">Early Plan 5 rates were unusually high because inflation was high—for example, rates temporarily reached </w:t>
      </w:r>
      <w:r w:rsidRPr="005B1002">
        <w:rPr>
          <w:b/>
          <w:bCs/>
        </w:rPr>
        <w:t>8.0%</w:t>
      </w:r>
      <w:r w:rsidRPr="00B3354D">
        <w:t xml:space="preserve"> in August 2024—before falling to </w:t>
      </w:r>
      <w:r w:rsidRPr="005B1002">
        <w:rPr>
          <w:b/>
          <w:bCs/>
        </w:rPr>
        <w:t>4.3%</w:t>
      </w:r>
      <w:r w:rsidRPr="00B3354D">
        <w:t xml:space="preserve"> for 2024/25. The rate for 1 September 2025–31 August 2026 is </w:t>
      </w:r>
      <w:r w:rsidRPr="005B1002">
        <w:rPr>
          <w:b/>
          <w:bCs/>
        </w:rPr>
        <w:t>3.2%</w:t>
      </w:r>
      <w:r w:rsidRPr="00B3354D">
        <w:t>.</w:t>
      </w:r>
    </w:p>
    <w:p w14:paraId="14AF3AAF" w14:textId="77777777" w:rsidR="005D48F2" w:rsidRPr="00B3354D" w:rsidRDefault="005D48F2" w:rsidP="00145B71"/>
    <w:p w14:paraId="45186FE4" w14:textId="7AD3AFC8" w:rsidR="0006600F" w:rsidRDefault="00145B71">
      <w:r w:rsidRPr="00145B71">
        <w:t>Overall, the historical progression</w:t>
      </w:r>
      <w:r w:rsidR="00C552FB">
        <w:t xml:space="preserve"> in </w:t>
      </w:r>
      <w:r w:rsidR="00C552FB" w:rsidRPr="008C4398">
        <w:rPr>
          <w:b/>
          <w:bCs/>
        </w:rPr>
        <w:t xml:space="preserve">Figure </w:t>
      </w:r>
      <w:r w:rsidR="0054778D" w:rsidRPr="008C4398">
        <w:rPr>
          <w:b/>
          <w:bCs/>
        </w:rPr>
        <w:t>1</w:t>
      </w:r>
      <w:r w:rsidR="0054778D">
        <w:t xml:space="preserve"> shows</w:t>
      </w:r>
      <w:r w:rsidRPr="00145B71">
        <w:t xml:space="preserve"> a shift towards much larger nominal student debts after 2012 and, under Plan 5, a system designed for a greater proportion of graduates to repay their borrowing over a longer part of their working lives.</w:t>
      </w:r>
    </w:p>
    <w:p w14:paraId="216B4006" w14:textId="77777777" w:rsidR="005D48F2" w:rsidRDefault="005D48F2"/>
    <w:p w14:paraId="7E611721" w14:textId="504368CD" w:rsidR="000F7E87" w:rsidRDefault="000F7E87">
      <w:r w:rsidRPr="008C4398">
        <w:rPr>
          <w:b/>
          <w:bCs/>
        </w:rPr>
        <w:t>Figure 1</w:t>
      </w:r>
      <w:r>
        <w:t xml:space="preserve">: </w:t>
      </w:r>
      <w:r w:rsidR="001C53D0">
        <w:t xml:space="preserve">Loan </w:t>
      </w:r>
      <w:r w:rsidR="00A44777">
        <w:t>balances in billions according to each repayment plan</w:t>
      </w:r>
      <w:r>
        <w:t>.</w:t>
      </w:r>
    </w:p>
    <w:p w14:paraId="074A258C" w14:textId="452C131A" w:rsidR="0052239D" w:rsidRDefault="0021080A">
      <w:r>
        <w:rPr>
          <w:noProof/>
        </w:rPr>
        <w:drawing>
          <wp:inline distT="0" distB="0" distL="0" distR="0" wp14:anchorId="46E5B33F" wp14:editId="1A27C668">
            <wp:extent cx="5731510" cy="3234055"/>
            <wp:effectExtent l="0" t="0" r="2540" b="4445"/>
            <wp:docPr id="10416305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4B367D8" w14:textId="669CFEE9" w:rsidR="00A44777" w:rsidRDefault="00DD7A6D">
      <w:r>
        <w:t xml:space="preserve">From </w:t>
      </w:r>
      <w:r w:rsidRPr="008C4398">
        <w:rPr>
          <w:b/>
          <w:bCs/>
        </w:rPr>
        <w:t>Figure 1</w:t>
      </w:r>
      <w:r>
        <w:t>, it is apparent that most of the loans now outstanding</w:t>
      </w:r>
      <w:r w:rsidR="00B43C9B">
        <w:t xml:space="preserve"> are administered under Plan 2 of the loan scheme, which is increasingly onerous. </w:t>
      </w:r>
    </w:p>
    <w:p w14:paraId="252D59DE" w14:textId="77777777" w:rsidR="00826938" w:rsidRDefault="00C416E1">
      <w:r>
        <w:t>The increased burden of student loans</w:t>
      </w:r>
      <w:r w:rsidR="00826938">
        <w:t xml:space="preserve"> can be seen as one factor explaining the continued decline in the birth rate.</w:t>
      </w:r>
    </w:p>
    <w:p w14:paraId="79026FE1" w14:textId="73B16B23" w:rsidR="00DD7A6D" w:rsidRDefault="00C416E1">
      <w:r>
        <w:t>There is a</w:t>
      </w:r>
      <w:r w:rsidR="00826938">
        <w:t>lso a</w:t>
      </w:r>
      <w:r>
        <w:t xml:space="preserve"> high correlation </w:t>
      </w:r>
      <w:r w:rsidR="006D18B0">
        <w:t xml:space="preserve">between </w:t>
      </w:r>
      <w:r>
        <w:t>this increasing indebtedness and the increase</w:t>
      </w:r>
      <w:r w:rsidR="006D18B0">
        <w:t>d</w:t>
      </w:r>
      <w:r>
        <w:t xml:space="preserve"> abortion rates in recent years. </w:t>
      </w:r>
    </w:p>
    <w:p w14:paraId="1AFB4797" w14:textId="6A101C4D" w:rsidR="00CF43A3" w:rsidRDefault="00B202A3">
      <w:r>
        <w:t xml:space="preserve">Access to family type housing </w:t>
      </w:r>
      <w:r w:rsidR="002F5205">
        <w:t>in the UK</w:t>
      </w:r>
      <w:r>
        <w:t xml:space="preserve"> is affected by </w:t>
      </w:r>
      <w:r w:rsidR="00A676D3">
        <w:t>house prices. The increasing unaffordability of family type housing is a factor</w:t>
      </w:r>
      <w:r w:rsidR="0008566F">
        <w:t xml:space="preserve"> deterring family formation and parity progression.</w:t>
      </w:r>
    </w:p>
    <w:p w14:paraId="2A9DC353" w14:textId="5B099DE5" w:rsidR="00A44777" w:rsidRDefault="00204209">
      <w:r w:rsidRPr="005C5F84">
        <w:rPr>
          <w:b/>
          <w:bCs/>
        </w:rPr>
        <w:t>Figure 2</w:t>
      </w:r>
      <w:r>
        <w:t xml:space="preserve">: </w:t>
      </w:r>
      <w:r w:rsidR="00A44777">
        <w:t>The average housing price in England on the 1</w:t>
      </w:r>
      <w:r w:rsidR="00A44777" w:rsidRPr="00A44777">
        <w:rPr>
          <w:vertAlign w:val="superscript"/>
        </w:rPr>
        <w:t>st</w:t>
      </w:r>
      <w:r w:rsidR="00A44777">
        <w:t xml:space="preserve"> January each year from 1969 to 2026</w:t>
      </w:r>
    </w:p>
    <w:p w14:paraId="75589EB3" w14:textId="3FC1C29D" w:rsidR="00A44777" w:rsidRDefault="00052E82">
      <w:r>
        <w:rPr>
          <w:noProof/>
        </w:rPr>
        <w:drawing>
          <wp:inline distT="0" distB="0" distL="0" distR="0" wp14:anchorId="0753DF60" wp14:editId="63292093">
            <wp:extent cx="5731510" cy="3494405"/>
            <wp:effectExtent l="0" t="0" r="2540" b="10795"/>
            <wp:docPr id="58852183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32DFCDC-3683-17B0-375B-D27A7C8CF9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9203FE6" w14:textId="77777777" w:rsidR="00A44777" w:rsidRDefault="00A44777"/>
    <w:p w14:paraId="4735016D" w14:textId="51670DE6" w:rsidR="00A44777" w:rsidRDefault="0008566F">
      <w:r w:rsidRPr="005C5F84">
        <w:rPr>
          <w:b/>
          <w:bCs/>
        </w:rPr>
        <w:t>Figure 3</w:t>
      </w:r>
      <w:r>
        <w:t xml:space="preserve">: </w:t>
      </w:r>
      <w:r w:rsidR="00A44777">
        <w:t>The average price per property type in England on the 1</w:t>
      </w:r>
      <w:r w:rsidR="00A44777" w:rsidRPr="00A44777">
        <w:rPr>
          <w:vertAlign w:val="superscript"/>
        </w:rPr>
        <w:t>st</w:t>
      </w:r>
      <w:r w:rsidR="00A44777">
        <w:t xml:space="preserve"> January each year from 1995 to 2026</w:t>
      </w:r>
    </w:p>
    <w:p w14:paraId="18ED3231" w14:textId="6D6C4A8D" w:rsidR="00A44777" w:rsidRDefault="005C3CF3">
      <w:r>
        <w:rPr>
          <w:noProof/>
        </w:rPr>
        <w:drawing>
          <wp:inline distT="0" distB="0" distL="0" distR="0" wp14:anchorId="6E750080" wp14:editId="6851FF05">
            <wp:extent cx="5731510" cy="2902585"/>
            <wp:effectExtent l="0" t="0" r="2540" b="12065"/>
            <wp:docPr id="133083169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3F4E49C-4A32-9429-552A-B4EEB8B903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7EE5AC8" w14:textId="53E4A8B0" w:rsidR="00A44777" w:rsidRDefault="00CD73AA">
      <w:r>
        <w:t>Housing finance also affects family formation. When</w:t>
      </w:r>
      <w:r w:rsidR="00F32E9E">
        <w:t xml:space="preserve"> interest rates are higher, purchase of family type housing becomes more unaffordable. </w:t>
      </w:r>
    </w:p>
    <w:p w14:paraId="064AD020" w14:textId="77777777" w:rsidR="009E3F26" w:rsidRDefault="009E3F26"/>
    <w:p w14:paraId="5D906C62" w14:textId="0574255C" w:rsidR="00A44777" w:rsidRDefault="009E3F26">
      <w:r w:rsidRPr="005C5F84">
        <w:rPr>
          <w:b/>
          <w:bCs/>
        </w:rPr>
        <w:t>Figure 4</w:t>
      </w:r>
      <w:r>
        <w:t xml:space="preserve">: </w:t>
      </w:r>
      <w:r w:rsidR="00A44777">
        <w:t>Annual average from Bank of England Interest Rate from 1990 to 2025</w:t>
      </w:r>
    </w:p>
    <w:p w14:paraId="11E4ECB4" w14:textId="6B1F12C6" w:rsidR="00A44777" w:rsidRDefault="005C3CF3">
      <w:r>
        <w:rPr>
          <w:noProof/>
        </w:rPr>
        <w:drawing>
          <wp:inline distT="0" distB="0" distL="0" distR="0" wp14:anchorId="222016E4" wp14:editId="3EA78C7F">
            <wp:extent cx="5731510" cy="3171825"/>
            <wp:effectExtent l="0" t="0" r="2540" b="9525"/>
            <wp:docPr id="187084064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91541DB-D623-D63B-D645-D0394E824D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42A06EE" w14:textId="77777777" w:rsidR="00E408EC" w:rsidRDefault="00E408EC" w:rsidP="008A6D7F"/>
    <w:p w14:paraId="20557C99" w14:textId="0A178A87" w:rsidR="008A6D7F" w:rsidRDefault="00F32E9E" w:rsidP="008A6D7F">
      <w:r w:rsidRPr="005C5F84">
        <w:rPr>
          <w:b/>
          <w:bCs/>
        </w:rPr>
        <w:t>Figure 5</w:t>
      </w:r>
      <w:r>
        <w:t xml:space="preserve">: </w:t>
      </w:r>
      <w:r w:rsidR="008A6D7F">
        <w:t>The total number of student loan borrowers in England and the proportion married within ages 20-29 from 06/07 to 24/25</w:t>
      </w:r>
    </w:p>
    <w:p w14:paraId="0A99B215" w14:textId="77777777" w:rsidR="008A6D7F" w:rsidRDefault="008A6D7F" w:rsidP="008A6D7F">
      <w:r>
        <w:rPr>
          <w:noProof/>
        </w:rPr>
        <w:drawing>
          <wp:inline distT="0" distB="0" distL="0" distR="0" wp14:anchorId="24AA6910" wp14:editId="388D427C">
            <wp:extent cx="5731510" cy="2612390"/>
            <wp:effectExtent l="0" t="0" r="2540" b="16510"/>
            <wp:docPr id="69117922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5518175" w14:textId="77777777" w:rsidR="008A6D7F" w:rsidRDefault="008A6D7F" w:rsidP="008A6D7F"/>
    <w:p w14:paraId="62E03753" w14:textId="76194F66" w:rsidR="008A6D7F" w:rsidRDefault="007F6FD4" w:rsidP="008A6D7F">
      <w:r w:rsidRPr="005C5F84">
        <w:rPr>
          <w:b/>
          <w:bCs/>
        </w:rPr>
        <w:t>Figure 6</w:t>
      </w:r>
      <w:r>
        <w:t xml:space="preserve">: </w:t>
      </w:r>
      <w:r w:rsidR="008A6D7F">
        <w:t>The total number of student loan borrowers in England and the proportion of the total fertility rate contributed by women aged 20-29 from 06/07 to 24/25</w:t>
      </w:r>
    </w:p>
    <w:p w14:paraId="2FED5657" w14:textId="00CB7887" w:rsidR="00DD2688" w:rsidRDefault="000B01B3" w:rsidP="008A6D7F">
      <w:r w:rsidRPr="00FA5B3E">
        <w:rPr>
          <w:b/>
          <w:bCs/>
        </w:rPr>
        <w:t>Figure 6</w:t>
      </w:r>
      <w:r>
        <w:t xml:space="preserve"> shows this inverse correlation between </w:t>
      </w:r>
      <w:r w:rsidR="000635CE">
        <w:t xml:space="preserve">the number of borrowers and </w:t>
      </w:r>
      <w:r w:rsidR="00494843">
        <w:t>the birth rate within ages 20-29 of women</w:t>
      </w:r>
      <w:r w:rsidR="00EE387E">
        <w:t xml:space="preserve"> </w:t>
      </w:r>
      <w:r w:rsidR="00FA5B3E">
        <w:t>with</w:t>
      </w:r>
      <w:r w:rsidR="00EE387E">
        <w:t xml:space="preserve"> c</w:t>
      </w:r>
      <w:r w:rsidR="00781873">
        <w:t>orrelation coefficient (-0.9</w:t>
      </w:r>
      <w:r w:rsidR="00A34121">
        <w:t>7)</w:t>
      </w:r>
      <w:r w:rsidR="00FA5B3E">
        <w:t>.</w:t>
      </w:r>
    </w:p>
    <w:p w14:paraId="4EB7527A" w14:textId="77777777" w:rsidR="008A6D7F" w:rsidRDefault="008A6D7F" w:rsidP="008A6D7F">
      <w:r>
        <w:rPr>
          <w:noProof/>
        </w:rPr>
        <w:drawing>
          <wp:inline distT="0" distB="0" distL="0" distR="0" wp14:anchorId="1E3C6751" wp14:editId="1E3EF3DE">
            <wp:extent cx="5731510" cy="2612390"/>
            <wp:effectExtent l="0" t="0" r="2540" b="16510"/>
            <wp:docPr id="65938651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E7B0402" w14:textId="77777777" w:rsidR="008A6D7F" w:rsidRDefault="008A6D7F"/>
    <w:p w14:paraId="08A86BD9" w14:textId="1B1E6AA8" w:rsidR="006173ED" w:rsidRDefault="006173ED">
      <w:pPr>
        <w:rPr>
          <w:b/>
          <w:bCs/>
        </w:rPr>
      </w:pPr>
      <w:r>
        <w:rPr>
          <w:b/>
          <w:bCs/>
        </w:rPr>
        <w:t xml:space="preserve">Figure 7 </w:t>
      </w:r>
      <w:r w:rsidRPr="00782A79">
        <w:t>shows how the birth rate in England &amp; Wales</w:t>
      </w:r>
      <w:r w:rsidR="007D3A28" w:rsidRPr="00782A79">
        <w:t xml:space="preserve"> </w:t>
      </w:r>
      <w:r w:rsidR="000A2315" w:rsidRPr="00782A79">
        <w:t xml:space="preserve">exceeded replacement level in the </w:t>
      </w:r>
      <w:r w:rsidR="00782A79" w:rsidRPr="00782A79">
        <w:t>1960s but</w:t>
      </w:r>
      <w:r w:rsidR="00F27475" w:rsidRPr="00782A79">
        <w:t xml:space="preserve"> has now declined to below replacement level</w:t>
      </w:r>
      <w:r w:rsidR="00AB5BBE" w:rsidRPr="00782A79">
        <w:t xml:space="preserve"> in recent years.</w:t>
      </w:r>
      <w:r w:rsidR="00AB5BBE">
        <w:rPr>
          <w:b/>
          <w:bCs/>
        </w:rPr>
        <w:t xml:space="preserve"> </w:t>
      </w:r>
      <w:r w:rsidR="00782A79" w:rsidRPr="00390272">
        <w:t>The shortfall below replacement level</w:t>
      </w:r>
      <w:r w:rsidR="005D2A54" w:rsidRPr="00390272">
        <w:t xml:space="preserve"> of the birth rate</w:t>
      </w:r>
      <w:r w:rsidR="00390272" w:rsidRPr="00390272">
        <w:t xml:space="preserve"> can largely be accounted for by the abortion rate. </w:t>
      </w:r>
    </w:p>
    <w:p w14:paraId="27DAC3C2" w14:textId="55D7D74A" w:rsidR="005837C3" w:rsidRDefault="005837C3">
      <w:r w:rsidRPr="00483824">
        <w:rPr>
          <w:b/>
          <w:bCs/>
        </w:rPr>
        <w:t>Figure 7</w:t>
      </w:r>
      <w:r>
        <w:t xml:space="preserve">: </w:t>
      </w:r>
      <w:r w:rsidR="00444309">
        <w:t>TFR &amp; TAR for England from 1968-2023</w:t>
      </w:r>
    </w:p>
    <w:p w14:paraId="3EF7C8E8" w14:textId="26E11F2F" w:rsidR="00A44777" w:rsidRDefault="00483824">
      <w:r>
        <w:rPr>
          <w:noProof/>
        </w:rPr>
        <w:drawing>
          <wp:inline distT="0" distB="0" distL="0" distR="0" wp14:anchorId="082910A8" wp14:editId="0F5AEAB2">
            <wp:extent cx="5731510" cy="3651250"/>
            <wp:effectExtent l="0" t="0" r="2540" b="6350"/>
            <wp:docPr id="1367106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106306" name="Picture 136710630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47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F6EDD" w14:textId="77777777" w:rsidR="00DB6F43" w:rsidRDefault="00DB6F43" w:rsidP="00CF43A3">
      <w:pPr>
        <w:spacing w:after="0" w:line="240" w:lineRule="auto"/>
      </w:pPr>
      <w:r>
        <w:separator/>
      </w:r>
    </w:p>
  </w:endnote>
  <w:endnote w:type="continuationSeparator" w:id="0">
    <w:p w14:paraId="48B5E79E" w14:textId="77777777" w:rsidR="00DB6F43" w:rsidRDefault="00DB6F43" w:rsidP="00CF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FEB7C" w14:textId="77777777" w:rsidR="00DB6F43" w:rsidRDefault="00DB6F43" w:rsidP="00CF43A3">
      <w:pPr>
        <w:spacing w:after="0" w:line="240" w:lineRule="auto"/>
      </w:pPr>
      <w:r>
        <w:separator/>
      </w:r>
    </w:p>
  </w:footnote>
  <w:footnote w:type="continuationSeparator" w:id="0">
    <w:p w14:paraId="29B66A0A" w14:textId="77777777" w:rsidR="00DB6F43" w:rsidRDefault="00DB6F43" w:rsidP="00CF4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77"/>
    <w:rsid w:val="00052E82"/>
    <w:rsid w:val="00056611"/>
    <w:rsid w:val="000635CE"/>
    <w:rsid w:val="0006600F"/>
    <w:rsid w:val="000707E0"/>
    <w:rsid w:val="0008566F"/>
    <w:rsid w:val="000A2315"/>
    <w:rsid w:val="000A41AB"/>
    <w:rsid w:val="000B01B3"/>
    <w:rsid w:val="000F7E87"/>
    <w:rsid w:val="00100619"/>
    <w:rsid w:val="00145B71"/>
    <w:rsid w:val="00152792"/>
    <w:rsid w:val="00160F4B"/>
    <w:rsid w:val="00163376"/>
    <w:rsid w:val="00164766"/>
    <w:rsid w:val="001C21AA"/>
    <w:rsid w:val="001C53D0"/>
    <w:rsid w:val="001F00B2"/>
    <w:rsid w:val="00204209"/>
    <w:rsid w:val="0021080A"/>
    <w:rsid w:val="00227B01"/>
    <w:rsid w:val="00230A86"/>
    <w:rsid w:val="00247B7C"/>
    <w:rsid w:val="002531E1"/>
    <w:rsid w:val="0026663F"/>
    <w:rsid w:val="002829E5"/>
    <w:rsid w:val="00293839"/>
    <w:rsid w:val="002B6FB8"/>
    <w:rsid w:val="002F5205"/>
    <w:rsid w:val="0030098C"/>
    <w:rsid w:val="00302825"/>
    <w:rsid w:val="003203E4"/>
    <w:rsid w:val="00335E33"/>
    <w:rsid w:val="00366A4D"/>
    <w:rsid w:val="00390272"/>
    <w:rsid w:val="00394109"/>
    <w:rsid w:val="00442277"/>
    <w:rsid w:val="00444309"/>
    <w:rsid w:val="004742D6"/>
    <w:rsid w:val="00483824"/>
    <w:rsid w:val="00494843"/>
    <w:rsid w:val="004B3845"/>
    <w:rsid w:val="004B6C25"/>
    <w:rsid w:val="00516C58"/>
    <w:rsid w:val="0052239D"/>
    <w:rsid w:val="0054778D"/>
    <w:rsid w:val="00566174"/>
    <w:rsid w:val="005837C3"/>
    <w:rsid w:val="00592B73"/>
    <w:rsid w:val="005B1002"/>
    <w:rsid w:val="005B3EA8"/>
    <w:rsid w:val="005C3CF3"/>
    <w:rsid w:val="005C5F84"/>
    <w:rsid w:val="005D2A54"/>
    <w:rsid w:val="005D48F2"/>
    <w:rsid w:val="005E1A3D"/>
    <w:rsid w:val="005E3E17"/>
    <w:rsid w:val="005F4F3E"/>
    <w:rsid w:val="005F7A95"/>
    <w:rsid w:val="00607F7D"/>
    <w:rsid w:val="006173ED"/>
    <w:rsid w:val="006209F2"/>
    <w:rsid w:val="00630A43"/>
    <w:rsid w:val="00652F5A"/>
    <w:rsid w:val="0065611D"/>
    <w:rsid w:val="00676800"/>
    <w:rsid w:val="006D18B0"/>
    <w:rsid w:val="006E4DA1"/>
    <w:rsid w:val="00702891"/>
    <w:rsid w:val="00744650"/>
    <w:rsid w:val="00754C25"/>
    <w:rsid w:val="00781873"/>
    <w:rsid w:val="00782A79"/>
    <w:rsid w:val="007914AF"/>
    <w:rsid w:val="007A01D9"/>
    <w:rsid w:val="007D3A28"/>
    <w:rsid w:val="007D4934"/>
    <w:rsid w:val="007D77F6"/>
    <w:rsid w:val="007F1481"/>
    <w:rsid w:val="007F6FD4"/>
    <w:rsid w:val="00820475"/>
    <w:rsid w:val="00826938"/>
    <w:rsid w:val="00833348"/>
    <w:rsid w:val="0088135F"/>
    <w:rsid w:val="008A1180"/>
    <w:rsid w:val="008A48E0"/>
    <w:rsid w:val="008A6D7F"/>
    <w:rsid w:val="008C4398"/>
    <w:rsid w:val="008F4268"/>
    <w:rsid w:val="009058B2"/>
    <w:rsid w:val="009067BA"/>
    <w:rsid w:val="00931DDB"/>
    <w:rsid w:val="009469F3"/>
    <w:rsid w:val="009867CA"/>
    <w:rsid w:val="009E3F26"/>
    <w:rsid w:val="00A07105"/>
    <w:rsid w:val="00A126DD"/>
    <w:rsid w:val="00A2422C"/>
    <w:rsid w:val="00A25A78"/>
    <w:rsid w:val="00A34121"/>
    <w:rsid w:val="00A43DA1"/>
    <w:rsid w:val="00A44777"/>
    <w:rsid w:val="00A676D3"/>
    <w:rsid w:val="00A70DC2"/>
    <w:rsid w:val="00A723C2"/>
    <w:rsid w:val="00A73B63"/>
    <w:rsid w:val="00A73C43"/>
    <w:rsid w:val="00A81831"/>
    <w:rsid w:val="00A9550E"/>
    <w:rsid w:val="00AB5BBE"/>
    <w:rsid w:val="00AD6748"/>
    <w:rsid w:val="00B105F7"/>
    <w:rsid w:val="00B15EDD"/>
    <w:rsid w:val="00B202A3"/>
    <w:rsid w:val="00B22701"/>
    <w:rsid w:val="00B3354D"/>
    <w:rsid w:val="00B36345"/>
    <w:rsid w:val="00B370BF"/>
    <w:rsid w:val="00B410F9"/>
    <w:rsid w:val="00B422D5"/>
    <w:rsid w:val="00B43C9B"/>
    <w:rsid w:val="00B60117"/>
    <w:rsid w:val="00B65FD8"/>
    <w:rsid w:val="00BA2EBE"/>
    <w:rsid w:val="00BD0133"/>
    <w:rsid w:val="00BE3C3C"/>
    <w:rsid w:val="00C23260"/>
    <w:rsid w:val="00C416E1"/>
    <w:rsid w:val="00C552FB"/>
    <w:rsid w:val="00CA202E"/>
    <w:rsid w:val="00CC2FAF"/>
    <w:rsid w:val="00CD73AA"/>
    <w:rsid w:val="00CF0FA7"/>
    <w:rsid w:val="00CF3005"/>
    <w:rsid w:val="00CF43A3"/>
    <w:rsid w:val="00D4441B"/>
    <w:rsid w:val="00D46914"/>
    <w:rsid w:val="00D51938"/>
    <w:rsid w:val="00D91067"/>
    <w:rsid w:val="00DB6F43"/>
    <w:rsid w:val="00DD2688"/>
    <w:rsid w:val="00DD7A6D"/>
    <w:rsid w:val="00DF7AF1"/>
    <w:rsid w:val="00E315FA"/>
    <w:rsid w:val="00E408EC"/>
    <w:rsid w:val="00E455CD"/>
    <w:rsid w:val="00E96EA1"/>
    <w:rsid w:val="00EA738D"/>
    <w:rsid w:val="00EB41DF"/>
    <w:rsid w:val="00ED54C1"/>
    <w:rsid w:val="00EE387E"/>
    <w:rsid w:val="00F22D9A"/>
    <w:rsid w:val="00F27475"/>
    <w:rsid w:val="00F32E9E"/>
    <w:rsid w:val="00F76414"/>
    <w:rsid w:val="00F81252"/>
    <w:rsid w:val="00FA5B3E"/>
    <w:rsid w:val="00FC501B"/>
    <w:rsid w:val="00FE3CAD"/>
    <w:rsid w:val="00FF1101"/>
    <w:rsid w:val="00F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F1880"/>
  <w15:chartTrackingRefBased/>
  <w15:docId w15:val="{58EC700A-FF7D-46D1-B935-EE25C3B8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4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3A3"/>
  </w:style>
  <w:style w:type="paragraph" w:styleId="Footer">
    <w:name w:val="footer"/>
    <w:basedOn w:val="Normal"/>
    <w:link w:val="FooterChar"/>
    <w:uiPriority w:val="99"/>
    <w:unhideWhenUsed/>
    <w:rsid w:val="00CF4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6ebfed610ef07bcd/Documents/Daryl%20Monserrate/Student%20Loans/UK_Student_Loans_Historical_Plans_1990_2026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6ebfed610ef07bcd/Documents/Daryl%20Monserrate/Student%20Loans/UK_Student_Loans_Historical_Plans_1990_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6ebfed610ef07bcd/Documents/Daryl%20Monserrate/Student%20Loans/UK_Student_Loans_Historical_Plans_1990_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6ebfed610ef07bcd/Documents/Daryl%20Monserrate/Student%20Loans/UK_Student_Loans_Historical_Plans_1990_20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6ebfed610ef07bcd/Documents/Daryl%20Monserrate/Student%20Loans/England_Student_Loans_Age_20-29_Marriage_Fertility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6ebfed610ef07bcd/Documents/Daryl%20Monserrate/Student%20Loans/England_Student_Loans_Age_20-29_Marriage_Fertilit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r>
              <a:rPr lang="en-US" sz="1400" b="0" i="0" u="none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lt"/>
                <a:cs typeface="+mn-lt"/>
              </a:rPr>
              <a:t>Outstanding Loan Balance by Plan Type
Pearson r vs time: Plan 1 −0.982 | Plan 2 +0.994 | Plan 3 +0.999 | Plan 5 +0.992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'Loan Balance by Plan Type'!$B$1</c:f>
              <c:strCache>
                <c:ptCount val="1"/>
                <c:pt idx="0">
                  <c:v>Plan 1</c:v>
                </c:pt>
              </c:strCache>
            </c:strRef>
          </c:tx>
          <c:spPr>
            <a:solidFill>
              <a:srgbClr val="156082"/>
            </a:solidFill>
            <a:ln>
              <a:noFill/>
            </a:ln>
          </c:spPr>
          <c:invertIfNegative val="1"/>
          <c:cat>
            <c:strRef>
              <c:f>'Loan Balance by Plan Type'!$A$2:$A$14</c:f>
              <c:strCache>
                <c:ptCount val="1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  <c:pt idx="3">
                  <c:v>2016-17</c:v>
                </c:pt>
                <c:pt idx="4">
                  <c:v>2017-18</c:v>
                </c:pt>
                <c:pt idx="5">
                  <c:v>2018-19</c:v>
                </c:pt>
                <c:pt idx="6">
                  <c:v>2019-20</c:v>
                </c:pt>
                <c:pt idx="7">
                  <c:v>2020-21</c:v>
                </c:pt>
                <c:pt idx="8">
                  <c:v>2021-22</c:v>
                </c:pt>
                <c:pt idx="9">
                  <c:v>2022-23</c:v>
                </c:pt>
                <c:pt idx="10">
                  <c:v>2023-24</c:v>
                </c:pt>
                <c:pt idx="11">
                  <c:v>2024-25</c:v>
                </c:pt>
                <c:pt idx="12">
                  <c:v>2025-26</c:v>
                </c:pt>
              </c:strCache>
            </c:strRef>
          </c:cat>
          <c:val>
            <c:numRef>
              <c:f>'Loan Balance by Plan Type'!$B$2:$B$14</c:f>
              <c:numCache>
                <c:formatCode>" "[$£-809]* #,##0.0" ";"-"[$£-809]* #,##0.0" ";" "[$£-809]* "-"#" ";" "@" "</c:formatCode>
                <c:ptCount val="13"/>
                <c:pt idx="0">
                  <c:v>46.006718725789995</c:v>
                </c:pt>
                <c:pt idx="1">
                  <c:v>46.294879538640004</c:v>
                </c:pt>
                <c:pt idx="2">
                  <c:v>45.405084889369995</c:v>
                </c:pt>
                <c:pt idx="3">
                  <c:v>44.060893557980002</c:v>
                </c:pt>
                <c:pt idx="4">
                  <c:v>42.515105910119999</c:v>
                </c:pt>
                <c:pt idx="5">
                  <c:v>41.04928965109999</c:v>
                </c:pt>
                <c:pt idx="6">
                  <c:v>38.193610843250006</c:v>
                </c:pt>
                <c:pt idx="7">
                  <c:v>36.392553513240003</c:v>
                </c:pt>
                <c:pt idx="8">
                  <c:v>34.559942042959989</c:v>
                </c:pt>
                <c:pt idx="9">
                  <c:v>33.03573972153</c:v>
                </c:pt>
                <c:pt idx="10">
                  <c:v>32.66972303771</c:v>
                </c:pt>
                <c:pt idx="11">
                  <c:v>32.322484288909997</c:v>
                </c:pt>
                <c:pt idx="12">
                  <c:v>31.780591237879992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445C-4D84-B3BD-687B21D5F2A4}"/>
            </c:ext>
          </c:extLst>
        </c:ser>
        <c:ser>
          <c:idx val="1"/>
          <c:order val="1"/>
          <c:tx>
            <c:strRef>
              <c:f>'Loan Balance by Plan Type'!$C$1</c:f>
              <c:strCache>
                <c:ptCount val="1"/>
                <c:pt idx="0">
                  <c:v>Plan 2</c:v>
                </c:pt>
              </c:strCache>
            </c:strRef>
          </c:tx>
          <c:spPr>
            <a:solidFill>
              <a:srgbClr val="E97132"/>
            </a:solidFill>
            <a:ln>
              <a:noFill/>
            </a:ln>
          </c:spPr>
          <c:invertIfNegative val="1"/>
          <c:cat>
            <c:strRef>
              <c:f>'Loan Balance by Plan Type'!$A$2:$A$14</c:f>
              <c:strCache>
                <c:ptCount val="1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  <c:pt idx="3">
                  <c:v>2016-17</c:v>
                </c:pt>
                <c:pt idx="4">
                  <c:v>2017-18</c:v>
                </c:pt>
                <c:pt idx="5">
                  <c:v>2018-19</c:v>
                </c:pt>
                <c:pt idx="6">
                  <c:v>2019-20</c:v>
                </c:pt>
                <c:pt idx="7">
                  <c:v>2020-21</c:v>
                </c:pt>
                <c:pt idx="8">
                  <c:v>2021-22</c:v>
                </c:pt>
                <c:pt idx="9">
                  <c:v>2022-23</c:v>
                </c:pt>
                <c:pt idx="10">
                  <c:v>2023-24</c:v>
                </c:pt>
                <c:pt idx="11">
                  <c:v>2024-25</c:v>
                </c:pt>
                <c:pt idx="12">
                  <c:v>2025-26</c:v>
                </c:pt>
              </c:strCache>
            </c:strRef>
          </c:cat>
          <c:val>
            <c:numRef>
              <c:f>'Loan Balance by Plan Type'!$C$2:$C$14</c:f>
              <c:numCache>
                <c:formatCode>" "[$£-809]* #,##0.0" ";"-"[$£-809]* #,##0.0" ";" "[$£-809]* "-"#" ";" "@" "</c:formatCode>
                <c:ptCount val="13"/>
                <c:pt idx="0">
                  <c:v>8.3485444870000016</c:v>
                </c:pt>
                <c:pt idx="1">
                  <c:v>18.44044682869</c:v>
                </c:pt>
                <c:pt idx="2">
                  <c:v>30.847683081700001</c:v>
                </c:pt>
                <c:pt idx="3">
                  <c:v>44.954657891619995</c:v>
                </c:pt>
                <c:pt idx="4">
                  <c:v>61.001236850419993</c:v>
                </c:pt>
                <c:pt idx="5">
                  <c:v>79.087997262389976</c:v>
                </c:pt>
                <c:pt idx="6">
                  <c:v>99.430061204240005</c:v>
                </c:pt>
                <c:pt idx="7">
                  <c:v>120.77887744706003</c:v>
                </c:pt>
                <c:pt idx="8">
                  <c:v>142.66335371436</c:v>
                </c:pt>
                <c:pt idx="9">
                  <c:v>167.29486591435</c:v>
                </c:pt>
                <c:pt idx="10">
                  <c:v>193.72466480998</c:v>
                </c:pt>
                <c:pt idx="11">
                  <c:v>213.08913332522002</c:v>
                </c:pt>
                <c:pt idx="12">
                  <c:v>224.17685007569997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1-445C-4D84-B3BD-687B21D5F2A4}"/>
            </c:ext>
          </c:extLst>
        </c:ser>
        <c:ser>
          <c:idx val="2"/>
          <c:order val="2"/>
          <c:tx>
            <c:strRef>
              <c:f>'Loan Balance by Plan Type'!$D$1</c:f>
              <c:strCache>
                <c:ptCount val="1"/>
                <c:pt idx="0">
                  <c:v>Plan 3</c:v>
                </c:pt>
              </c:strCache>
            </c:strRef>
          </c:tx>
          <c:spPr>
            <a:solidFill>
              <a:srgbClr val="196B24"/>
            </a:solidFill>
            <a:ln>
              <a:noFill/>
            </a:ln>
          </c:spPr>
          <c:invertIfNegative val="1"/>
          <c:cat>
            <c:strRef>
              <c:f>'Loan Balance by Plan Type'!$A$2:$A$14</c:f>
              <c:strCache>
                <c:ptCount val="1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  <c:pt idx="3">
                  <c:v>2016-17</c:v>
                </c:pt>
                <c:pt idx="4">
                  <c:v>2017-18</c:v>
                </c:pt>
                <c:pt idx="5">
                  <c:v>2018-19</c:v>
                </c:pt>
                <c:pt idx="6">
                  <c:v>2019-20</c:v>
                </c:pt>
                <c:pt idx="7">
                  <c:v>2020-21</c:v>
                </c:pt>
                <c:pt idx="8">
                  <c:v>2021-22</c:v>
                </c:pt>
                <c:pt idx="9">
                  <c:v>2022-23</c:v>
                </c:pt>
                <c:pt idx="10">
                  <c:v>2023-24</c:v>
                </c:pt>
                <c:pt idx="11">
                  <c:v>2024-25</c:v>
                </c:pt>
                <c:pt idx="12">
                  <c:v>2025-26</c:v>
                </c:pt>
              </c:strCache>
            </c:strRef>
          </c:cat>
          <c:val>
            <c:numRef>
              <c:f>'Loan Balance by Plan Type'!$D$2:$D$14</c:f>
              <c:numCache>
                <c:formatCode>General</c:formatCode>
                <c:ptCount val="13"/>
                <c:pt idx="3" formatCode="&quot; &quot;[$£-809]* #,##0.0&quot; &quot;;&quot;-&quot;[$£-809]* #,##0.0&quot; &quot;;&quot; &quot;[$£-809]* &quot;-&quot;#&quot; &quot;;&quot; &quot;@&quot; &quot;">
                  <c:v>0.32836501764000003</c:v>
                </c:pt>
                <c:pt idx="4" formatCode="&quot; &quot;[$£-809]* #,##0.0&quot; &quot;;&quot;-&quot;[$£-809]* #,##0.0&quot; &quot;;&quot; &quot;[$£-809]* &quot;-&quot;#&quot; &quot;;&quot; &quot;@&quot; &quot;">
                  <c:v>0.94072886636000008</c:v>
                </c:pt>
                <c:pt idx="5" formatCode="&quot; &quot;[$£-809]* #,##0.0&quot; &quot;;&quot;-&quot;[$£-809]* #,##0.0&quot; &quot;;&quot; &quot;[$£-809]* &quot;-&quot;#&quot; &quot;;&quot; &quot;@&quot; &quot;">
                  <c:v>1.6760376831700001</c:v>
                </c:pt>
                <c:pt idx="6" formatCode="&quot; &quot;[$£-809]* #,##0.0&quot; &quot;;&quot;-&quot;[$£-809]* #,##0.0&quot; &quot;;&quot; &quot;[$£-809]* &quot;-&quot;#&quot; &quot;;&quot; &quot;@&quot; &quot;">
                  <c:v>2.4691286026199997</c:v>
                </c:pt>
                <c:pt idx="7" formatCode="&quot; &quot;[$£-809]* #,##0.0&quot; &quot;;&quot;-&quot;[$£-809]* #,##0.0&quot; &quot;;&quot; &quot;[$£-809]* &quot;-&quot;#&quot; &quot;;&quot; &quot;@&quot; &quot;">
                  <c:v>3.42285966143</c:v>
                </c:pt>
                <c:pt idx="8" formatCode="&quot; &quot;[$£-809]* #,##0.0&quot; &quot;;&quot;-&quot;[$£-809]* #,##0.0&quot; &quot;;&quot; &quot;[$£-809]* &quot;-&quot;#&quot; &quot;;&quot; &quot;@&quot; &quot;">
                  <c:v>4.3889832712400008</c:v>
                </c:pt>
                <c:pt idx="9" formatCode="&quot; &quot;[$£-809]* #,##0.0&quot; &quot;;&quot;-&quot;[$£-809]* #,##0.0&quot; &quot;;&quot; &quot;[$£-809]* &quot;-&quot;#&quot; &quot;;&quot; &quot;@&quot; &quot;">
                  <c:v>5.2381598388999988</c:v>
                </c:pt>
                <c:pt idx="10" formatCode="&quot; &quot;[$£-809]* #,##0.0&quot; &quot;;&quot;-&quot;[$£-809]* #,##0.0&quot; &quot;;&quot; &quot;[$£-809]* &quot;-&quot;#&quot; &quot;;&quot; &quot;@&quot; &quot;">
                  <c:v>6.1049971236300005</c:v>
                </c:pt>
                <c:pt idx="11" formatCode="&quot; &quot;[$£-809]* #,##0.0&quot; &quot;;&quot;-&quot;[$£-809]* #,##0.0&quot; &quot;;&quot; &quot;[$£-809]* &quot;-&quot;#&quot; &quot;;&quot; &quot;@&quot; &quot;">
                  <c:v>6.9851012318800008</c:v>
                </c:pt>
                <c:pt idx="12" formatCode="&quot; &quot;[$£-809]* #,##0.0&quot; &quot;;&quot;-&quot;[$£-809]* #,##0.0&quot; &quot;;&quot; &quot;[$£-809]* &quot;-&quot;#&quot; &quot;;&quot; &quot;@&quot; &quot;">
                  <c:v>7.8586404850000013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2-445C-4D84-B3BD-687B21D5F2A4}"/>
            </c:ext>
          </c:extLst>
        </c:ser>
        <c:ser>
          <c:idx val="3"/>
          <c:order val="3"/>
          <c:tx>
            <c:strRef>
              <c:f>'Loan Balance by Plan Type'!$E$1</c:f>
              <c:strCache>
                <c:ptCount val="1"/>
                <c:pt idx="0">
                  <c:v>Plan 5</c:v>
                </c:pt>
              </c:strCache>
            </c:strRef>
          </c:tx>
          <c:spPr>
            <a:solidFill>
              <a:srgbClr val="0F9ED5"/>
            </a:solidFill>
            <a:ln>
              <a:noFill/>
            </a:ln>
          </c:spPr>
          <c:invertIfNegative val="1"/>
          <c:cat>
            <c:strRef>
              <c:f>'Loan Balance by Plan Type'!$A$2:$A$14</c:f>
              <c:strCache>
                <c:ptCount val="1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  <c:pt idx="3">
                  <c:v>2016-17</c:v>
                </c:pt>
                <c:pt idx="4">
                  <c:v>2017-18</c:v>
                </c:pt>
                <c:pt idx="5">
                  <c:v>2018-19</c:v>
                </c:pt>
                <c:pt idx="6">
                  <c:v>2019-20</c:v>
                </c:pt>
                <c:pt idx="7">
                  <c:v>2020-21</c:v>
                </c:pt>
                <c:pt idx="8">
                  <c:v>2021-22</c:v>
                </c:pt>
                <c:pt idx="9">
                  <c:v>2022-23</c:v>
                </c:pt>
                <c:pt idx="10">
                  <c:v>2023-24</c:v>
                </c:pt>
                <c:pt idx="11">
                  <c:v>2024-25</c:v>
                </c:pt>
                <c:pt idx="12">
                  <c:v>2025-26</c:v>
                </c:pt>
              </c:strCache>
            </c:strRef>
          </c:cat>
          <c:val>
            <c:numRef>
              <c:f>'Loan Balance by Plan Type'!$E$2:$E$14</c:f>
              <c:numCache>
                <c:formatCode>General</c:formatCode>
                <c:ptCount val="13"/>
                <c:pt idx="10" formatCode="&quot; &quot;[$£-809]* #,##0.0&quot; &quot;;&quot;-&quot;[$£-809]* #,##0.0&quot; &quot;;&quot; &quot;[$£-809]* &quot;-&quot;#&quot; &quot;;&quot; &quot;@&quot; &quot;">
                  <c:v>3.66830940458</c:v>
                </c:pt>
                <c:pt idx="11" formatCode="&quot; &quot;[$£-809]* #,##0.0&quot; &quot;;&quot;-&quot;[$£-809]* #,##0.0&quot; &quot;;&quot; &quot;[$£-809]* &quot;-&quot;#&quot; &quot;;&quot; &quot;@&quot; &quot;">
                  <c:v>14.19576418085</c:v>
                </c:pt>
                <c:pt idx="12" formatCode="&quot; &quot;[$£-809]* #,##0.0&quot; &quot;;&quot;-&quot;[$£-809]* #,##0.0&quot; &quot;;&quot; &quot;[$£-809]* &quot;-&quot;#&quot; &quot;;&quot; &quot;@&quot; &quot;">
                  <c:v>30.767670581949996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3-445C-4D84-B3BD-687B21D5F2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2440512"/>
        <c:axId val="1300713168"/>
      </c:barChart>
      <c:catAx>
        <c:axId val="1424405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Financial</a:t>
                </a:r>
                <a:r>
                  <a:rPr lang="en-GB" baseline="0"/>
                  <a:t> Year</a:t>
                </a:r>
                <a:endParaRPr lang="en-GB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9525" cmpd="sng">
            <a:solidFill>
              <a:schemeClr val="tx1">
                <a:lumMod val="15000"/>
                <a:lumOff val="85000"/>
              </a:schemeClr>
            </a:solidFill>
          </a:ln>
        </c:spPr>
        <c:txPr>
          <a:bodyPr rot="-60000000" vert="horz" anchor="ctr" anchorCtr="1"/>
          <a:lstStyle/>
          <a:p>
            <a:pPr>
              <a:defRPr sz="900" b="0" i="0" u="none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lt"/>
                <a:cs typeface="+mn-lt"/>
              </a:defRPr>
            </a:pPr>
            <a:endParaRPr lang="en-US"/>
          </a:p>
        </c:txPr>
        <c:crossAx val="1300713168"/>
        <c:crosses val="autoZero"/>
        <c:auto val="1"/>
        <c:lblAlgn val="ctr"/>
        <c:lblOffset val="100"/>
        <c:noMultiLvlLbl val="0"/>
      </c:catAx>
      <c:valAx>
        <c:axId val="1300713168"/>
        <c:scaling>
          <c:orientation val="minMax"/>
        </c:scaling>
        <c:delete val="0"/>
        <c:axPos val="l"/>
        <c:majorGridlines>
          <c:spPr>
            <a:ln w="9525" cmpd="sng">
              <a:solidFill>
                <a:schemeClr val="tx1">
                  <a:lumMod val="15000"/>
                  <a:lumOff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£ (Billions)</a:t>
                </a:r>
              </a:p>
            </c:rich>
          </c:tx>
          <c:overlay val="0"/>
        </c:title>
        <c:numFmt formatCode="&quot; &quot;[$£-809]* #,##0.0&quot; &quot;;&quot;-&quot;[$£-809]* #,##0.0&quot; &quot;;&quot; &quot;[$£-809]* &quot;-&quot;#&quot; &quot;;&quot; &quot;@&quot; &quot;" sourceLinked="1"/>
        <c:majorTickMark val="none"/>
        <c:minorTickMark val="none"/>
        <c:tickLblPos val="nextTo"/>
        <c:spPr>
          <a:ln>
            <a:noFill/>
          </a:ln>
        </c:spPr>
        <c:txPr>
          <a:bodyPr rot="-60000000" vert="horz" anchor="ctr" anchorCtr="1"/>
          <a:lstStyle/>
          <a:p>
            <a:pPr>
              <a:defRPr sz="900" b="0" i="0" u="none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lt"/>
                <a:cs typeface="+mn-lt"/>
              </a:defRPr>
            </a:pPr>
            <a:endParaRPr lang="en-US"/>
          </a:p>
        </c:txPr>
        <c:crossAx val="142440512"/>
        <c:crosses val="autoZero"/>
        <c:crossBetween val="between"/>
      </c:valAx>
      <c:spPr>
        <a:noFill/>
        <a:ln>
          <a:noFill/>
        </a:ln>
      </c:spPr>
    </c:plotArea>
    <c:legend>
      <c:legendPos val="b"/>
      <c:overlay val="0"/>
      <c:spPr>
        <a:noFill/>
      </c:spPr>
      <c:txPr>
        <a:bodyPr rot="0" vert="horz" anchor="ctr" anchorCtr="1"/>
        <a:lstStyle/>
        <a:p>
          <a:pPr>
            <a:defRPr sz="900" b="0" i="0" u="none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lt"/>
              <a:cs typeface="+mn-lt"/>
            </a:defRPr>
          </a:pPr>
          <a:endParaRPr lang="en-US"/>
        </a:p>
      </c:txPr>
    </c:legend>
    <c:plotVisOnly val="1"/>
    <c:dispBlanksAs val="zero"/>
    <c:showDLblsOverMax val="1"/>
  </c:chart>
  <c:spPr>
    <a:solidFill>
      <a:schemeClr val="bg1"/>
    </a:solidFill>
    <a:ln w="9525" cmpd="sng">
      <a:solidFill>
        <a:schemeClr val="tx1">
          <a:lumMod val="15000"/>
          <a:lumOff val="85000"/>
        </a:schemeClr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Average</a:t>
            </a:r>
            <a:r>
              <a:rPr lang="en-US" baseline="0"/>
              <a:t> House Price in England from 1969 to 2026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'Housing over time (England)'!$B$1</c:f>
              <c:strCache>
                <c:ptCount val="1"/>
                <c:pt idx="0">
                  <c:v>Average_Price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'Housing over time (England)'!$A$2:$A$59</c:f>
              <c:numCache>
                <c:formatCode>m/d/yyyy</c:formatCode>
                <c:ptCount val="58"/>
                <c:pt idx="0">
                  <c:v>25204</c:v>
                </c:pt>
                <c:pt idx="1">
                  <c:v>25569</c:v>
                </c:pt>
                <c:pt idx="2">
                  <c:v>25934</c:v>
                </c:pt>
                <c:pt idx="3">
                  <c:v>26299</c:v>
                </c:pt>
                <c:pt idx="4">
                  <c:v>26665</c:v>
                </c:pt>
                <c:pt idx="5">
                  <c:v>27030</c:v>
                </c:pt>
                <c:pt idx="6">
                  <c:v>27395</c:v>
                </c:pt>
                <c:pt idx="7">
                  <c:v>27760</c:v>
                </c:pt>
                <c:pt idx="8">
                  <c:v>28126</c:v>
                </c:pt>
                <c:pt idx="9">
                  <c:v>28491</c:v>
                </c:pt>
                <c:pt idx="10">
                  <c:v>28856</c:v>
                </c:pt>
                <c:pt idx="11">
                  <c:v>29221</c:v>
                </c:pt>
                <c:pt idx="12">
                  <c:v>29587</c:v>
                </c:pt>
                <c:pt idx="13">
                  <c:v>29952</c:v>
                </c:pt>
                <c:pt idx="14">
                  <c:v>30317</c:v>
                </c:pt>
                <c:pt idx="15">
                  <c:v>30682</c:v>
                </c:pt>
                <c:pt idx="16">
                  <c:v>31048</c:v>
                </c:pt>
                <c:pt idx="17">
                  <c:v>31413</c:v>
                </c:pt>
                <c:pt idx="18">
                  <c:v>31778</c:v>
                </c:pt>
                <c:pt idx="19">
                  <c:v>32143</c:v>
                </c:pt>
                <c:pt idx="20">
                  <c:v>32509</c:v>
                </c:pt>
                <c:pt idx="21">
                  <c:v>32874</c:v>
                </c:pt>
                <c:pt idx="22">
                  <c:v>33239</c:v>
                </c:pt>
                <c:pt idx="23">
                  <c:v>33604</c:v>
                </c:pt>
                <c:pt idx="24">
                  <c:v>33970</c:v>
                </c:pt>
                <c:pt idx="25">
                  <c:v>34335</c:v>
                </c:pt>
                <c:pt idx="26">
                  <c:v>34700</c:v>
                </c:pt>
                <c:pt idx="27">
                  <c:v>35065</c:v>
                </c:pt>
                <c:pt idx="28">
                  <c:v>35431</c:v>
                </c:pt>
                <c:pt idx="29">
                  <c:v>35796</c:v>
                </c:pt>
                <c:pt idx="30">
                  <c:v>36161</c:v>
                </c:pt>
                <c:pt idx="31">
                  <c:v>36526</c:v>
                </c:pt>
                <c:pt idx="32">
                  <c:v>36892</c:v>
                </c:pt>
                <c:pt idx="33">
                  <c:v>37257</c:v>
                </c:pt>
                <c:pt idx="34">
                  <c:v>37622</c:v>
                </c:pt>
                <c:pt idx="35">
                  <c:v>37987</c:v>
                </c:pt>
                <c:pt idx="36">
                  <c:v>38353</c:v>
                </c:pt>
                <c:pt idx="37">
                  <c:v>38718</c:v>
                </c:pt>
                <c:pt idx="38">
                  <c:v>39083</c:v>
                </c:pt>
                <c:pt idx="39">
                  <c:v>39448</c:v>
                </c:pt>
                <c:pt idx="40">
                  <c:v>39814</c:v>
                </c:pt>
                <c:pt idx="41">
                  <c:v>40179</c:v>
                </c:pt>
                <c:pt idx="42">
                  <c:v>40544</c:v>
                </c:pt>
                <c:pt idx="43">
                  <c:v>40909</c:v>
                </c:pt>
                <c:pt idx="44">
                  <c:v>41275</c:v>
                </c:pt>
                <c:pt idx="45">
                  <c:v>41640</c:v>
                </c:pt>
                <c:pt idx="46">
                  <c:v>42005</c:v>
                </c:pt>
                <c:pt idx="47">
                  <c:v>42370</c:v>
                </c:pt>
                <c:pt idx="48">
                  <c:v>42736</c:v>
                </c:pt>
                <c:pt idx="49">
                  <c:v>43101</c:v>
                </c:pt>
                <c:pt idx="50">
                  <c:v>43466</c:v>
                </c:pt>
                <c:pt idx="51">
                  <c:v>43831</c:v>
                </c:pt>
                <c:pt idx="52">
                  <c:v>44197</c:v>
                </c:pt>
                <c:pt idx="53">
                  <c:v>44562</c:v>
                </c:pt>
                <c:pt idx="54">
                  <c:v>44927</c:v>
                </c:pt>
                <c:pt idx="55">
                  <c:v>45292</c:v>
                </c:pt>
                <c:pt idx="56">
                  <c:v>45658</c:v>
                </c:pt>
                <c:pt idx="57">
                  <c:v>46023</c:v>
                </c:pt>
              </c:numCache>
            </c:numRef>
          </c:cat>
          <c:val>
            <c:numRef>
              <c:f>'Housing over time (England)'!$B$2:$B$59</c:f>
              <c:numCache>
                <c:formatCode>General</c:formatCode>
                <c:ptCount val="58"/>
                <c:pt idx="0">
                  <c:v>3364</c:v>
                </c:pt>
                <c:pt idx="1">
                  <c:v>3510</c:v>
                </c:pt>
                <c:pt idx="2">
                  <c:v>3839</c:v>
                </c:pt>
                <c:pt idx="3">
                  <c:v>4644</c:v>
                </c:pt>
                <c:pt idx="4">
                  <c:v>7075</c:v>
                </c:pt>
                <c:pt idx="5">
                  <c:v>8081</c:v>
                </c:pt>
                <c:pt idx="6">
                  <c:v>8264</c:v>
                </c:pt>
                <c:pt idx="7">
                  <c:v>8958</c:v>
                </c:pt>
                <c:pt idx="8">
                  <c:v>9617</c:v>
                </c:pt>
                <c:pt idx="9">
                  <c:v>10567</c:v>
                </c:pt>
                <c:pt idx="10">
                  <c:v>13419</c:v>
                </c:pt>
                <c:pt idx="11">
                  <c:v>17350</c:v>
                </c:pt>
                <c:pt idx="12">
                  <c:v>18849</c:v>
                </c:pt>
                <c:pt idx="13">
                  <c:v>18740</c:v>
                </c:pt>
                <c:pt idx="14">
                  <c:v>21025</c:v>
                </c:pt>
                <c:pt idx="15">
                  <c:v>23036</c:v>
                </c:pt>
                <c:pt idx="16">
                  <c:v>25047</c:v>
                </c:pt>
                <c:pt idx="17">
                  <c:v>28155</c:v>
                </c:pt>
                <c:pt idx="18">
                  <c:v>32908</c:v>
                </c:pt>
                <c:pt idx="19">
                  <c:v>40335</c:v>
                </c:pt>
                <c:pt idx="20">
                  <c:v>52725</c:v>
                </c:pt>
                <c:pt idx="21">
                  <c:v>53894</c:v>
                </c:pt>
                <c:pt idx="22">
                  <c:v>52125</c:v>
                </c:pt>
                <c:pt idx="23">
                  <c:v>51374</c:v>
                </c:pt>
                <c:pt idx="24">
                  <c:v>48465</c:v>
                </c:pt>
                <c:pt idx="25">
                  <c:v>49543</c:v>
                </c:pt>
                <c:pt idx="26">
                  <c:v>50231</c:v>
                </c:pt>
                <c:pt idx="27">
                  <c:v>49410</c:v>
                </c:pt>
                <c:pt idx="28">
                  <c:v>52672</c:v>
                </c:pt>
                <c:pt idx="29">
                  <c:v>58444</c:v>
                </c:pt>
                <c:pt idx="30">
                  <c:v>62092</c:v>
                </c:pt>
                <c:pt idx="31">
                  <c:v>71017</c:v>
                </c:pt>
                <c:pt idx="32">
                  <c:v>79663</c:v>
                </c:pt>
                <c:pt idx="33">
                  <c:v>90840</c:v>
                </c:pt>
                <c:pt idx="34">
                  <c:v>114816</c:v>
                </c:pt>
                <c:pt idx="35">
                  <c:v>131914</c:v>
                </c:pt>
                <c:pt idx="36">
                  <c:v>149713</c:v>
                </c:pt>
                <c:pt idx="37">
                  <c:v>157240</c:v>
                </c:pt>
                <c:pt idx="38">
                  <c:v>171666</c:v>
                </c:pt>
                <c:pt idx="39">
                  <c:v>181037</c:v>
                </c:pt>
                <c:pt idx="40">
                  <c:v>153585</c:v>
                </c:pt>
                <c:pt idx="41">
                  <c:v>164711</c:v>
                </c:pt>
                <c:pt idx="42">
                  <c:v>164697</c:v>
                </c:pt>
                <c:pt idx="43">
                  <c:v>164449</c:v>
                </c:pt>
                <c:pt idx="44">
                  <c:v>166938</c:v>
                </c:pt>
                <c:pt idx="45">
                  <c:v>177748</c:v>
                </c:pt>
                <c:pt idx="46">
                  <c:v>191523</c:v>
                </c:pt>
                <c:pt idx="47">
                  <c:v>208050</c:v>
                </c:pt>
                <c:pt idx="48">
                  <c:v>218655</c:v>
                </c:pt>
                <c:pt idx="49">
                  <c:v>227594</c:v>
                </c:pt>
                <c:pt idx="50">
                  <c:v>230974</c:v>
                </c:pt>
                <c:pt idx="51">
                  <c:v>234049</c:v>
                </c:pt>
                <c:pt idx="52">
                  <c:v>249890</c:v>
                </c:pt>
                <c:pt idx="53">
                  <c:v>270231</c:v>
                </c:pt>
                <c:pt idx="54">
                  <c:v>285817</c:v>
                </c:pt>
                <c:pt idx="55">
                  <c:v>278060</c:v>
                </c:pt>
                <c:pt idx="56">
                  <c:v>287264</c:v>
                </c:pt>
                <c:pt idx="57">
                  <c:v>289172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6A4-4E4F-A5E4-652BE78EFC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7852160"/>
        <c:axId val="285138480"/>
      </c:lineChart>
      <c:dateAx>
        <c:axId val="2578521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5138480"/>
        <c:crosses val="autoZero"/>
        <c:auto val="1"/>
        <c:lblOffset val="100"/>
        <c:baseTimeUnit val="years"/>
      </c:dateAx>
      <c:valAx>
        <c:axId val="28513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Price in </a:t>
                </a:r>
                <a:r>
                  <a:rPr lang="en-US" baseline="0"/>
                  <a:t> GBP (Thousands)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7852160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Housing</a:t>
            </a:r>
            <a:r>
              <a:rPr lang="en-GB" baseline="0"/>
              <a:t> Price of Property Types in England from 1995 to 2026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Detached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'Property Type over Time (ENG)'!$A$2:$A$33</c:f>
              <c:numCache>
                <c:formatCode>m/d/yyyy</c:formatCode>
                <c:ptCount val="32"/>
                <c:pt idx="0">
                  <c:v>34700</c:v>
                </c:pt>
                <c:pt idx="1">
                  <c:v>35065</c:v>
                </c:pt>
                <c:pt idx="2">
                  <c:v>35431</c:v>
                </c:pt>
                <c:pt idx="3">
                  <c:v>35796</c:v>
                </c:pt>
                <c:pt idx="4">
                  <c:v>36161</c:v>
                </c:pt>
                <c:pt idx="5">
                  <c:v>36526</c:v>
                </c:pt>
                <c:pt idx="6">
                  <c:v>36892</c:v>
                </c:pt>
                <c:pt idx="7">
                  <c:v>37257</c:v>
                </c:pt>
                <c:pt idx="8">
                  <c:v>37622</c:v>
                </c:pt>
                <c:pt idx="9">
                  <c:v>37987</c:v>
                </c:pt>
                <c:pt idx="10">
                  <c:v>38353</c:v>
                </c:pt>
                <c:pt idx="11">
                  <c:v>38718</c:v>
                </c:pt>
                <c:pt idx="12">
                  <c:v>39083</c:v>
                </c:pt>
                <c:pt idx="13">
                  <c:v>39448</c:v>
                </c:pt>
                <c:pt idx="14">
                  <c:v>39814</c:v>
                </c:pt>
                <c:pt idx="15">
                  <c:v>40179</c:v>
                </c:pt>
                <c:pt idx="16">
                  <c:v>40544</c:v>
                </c:pt>
                <c:pt idx="17">
                  <c:v>40909</c:v>
                </c:pt>
                <c:pt idx="18">
                  <c:v>41275</c:v>
                </c:pt>
                <c:pt idx="19">
                  <c:v>41640</c:v>
                </c:pt>
                <c:pt idx="20">
                  <c:v>42005</c:v>
                </c:pt>
                <c:pt idx="21">
                  <c:v>42370</c:v>
                </c:pt>
                <c:pt idx="22">
                  <c:v>42736</c:v>
                </c:pt>
                <c:pt idx="23">
                  <c:v>43101</c:v>
                </c:pt>
                <c:pt idx="24">
                  <c:v>43466</c:v>
                </c:pt>
                <c:pt idx="25">
                  <c:v>43831</c:v>
                </c:pt>
                <c:pt idx="26">
                  <c:v>44197</c:v>
                </c:pt>
                <c:pt idx="27">
                  <c:v>44562</c:v>
                </c:pt>
                <c:pt idx="28">
                  <c:v>44927</c:v>
                </c:pt>
                <c:pt idx="29">
                  <c:v>45292</c:v>
                </c:pt>
                <c:pt idx="30">
                  <c:v>45658</c:v>
                </c:pt>
                <c:pt idx="31">
                  <c:v>46023</c:v>
                </c:pt>
              </c:numCache>
            </c:numRef>
          </c:cat>
          <c:val>
            <c:numRef>
              <c:f>'Property Type over Time (ENG)'!$B$2:$B$33</c:f>
              <c:numCache>
                <c:formatCode>General</c:formatCode>
                <c:ptCount val="32"/>
                <c:pt idx="0">
                  <c:v>86969</c:v>
                </c:pt>
                <c:pt idx="1">
                  <c:v>85644</c:v>
                </c:pt>
                <c:pt idx="2">
                  <c:v>91643</c:v>
                </c:pt>
                <c:pt idx="3">
                  <c:v>102865</c:v>
                </c:pt>
                <c:pt idx="4">
                  <c:v>109011</c:v>
                </c:pt>
                <c:pt idx="5">
                  <c:v>124700</c:v>
                </c:pt>
                <c:pt idx="6">
                  <c:v>139776</c:v>
                </c:pt>
                <c:pt idx="7">
                  <c:v>159745</c:v>
                </c:pt>
                <c:pt idx="8">
                  <c:v>200076</c:v>
                </c:pt>
                <c:pt idx="9">
                  <c:v>225492</c:v>
                </c:pt>
                <c:pt idx="10">
                  <c:v>247942</c:v>
                </c:pt>
                <c:pt idx="11">
                  <c:v>255353</c:v>
                </c:pt>
                <c:pt idx="12">
                  <c:v>276220</c:v>
                </c:pt>
                <c:pt idx="13">
                  <c:v>291618</c:v>
                </c:pt>
                <c:pt idx="14">
                  <c:v>251339</c:v>
                </c:pt>
                <c:pt idx="15">
                  <c:v>271113</c:v>
                </c:pt>
                <c:pt idx="16">
                  <c:v>273612</c:v>
                </c:pt>
                <c:pt idx="17">
                  <c:v>270783</c:v>
                </c:pt>
                <c:pt idx="18">
                  <c:v>272733</c:v>
                </c:pt>
                <c:pt idx="19">
                  <c:v>288002</c:v>
                </c:pt>
                <c:pt idx="20">
                  <c:v>307769</c:v>
                </c:pt>
                <c:pt idx="21">
                  <c:v>332864</c:v>
                </c:pt>
                <c:pt idx="22">
                  <c:v>352386</c:v>
                </c:pt>
                <c:pt idx="23">
                  <c:v>366820</c:v>
                </c:pt>
                <c:pt idx="24">
                  <c:v>377400</c:v>
                </c:pt>
                <c:pt idx="25">
                  <c:v>379278</c:v>
                </c:pt>
                <c:pt idx="26">
                  <c:v>400408</c:v>
                </c:pt>
                <c:pt idx="27">
                  <c:v>440325</c:v>
                </c:pt>
                <c:pt idx="28">
                  <c:v>467600</c:v>
                </c:pt>
                <c:pt idx="29">
                  <c:v>452626</c:v>
                </c:pt>
                <c:pt idx="30">
                  <c:v>466006</c:v>
                </c:pt>
                <c:pt idx="31">
                  <c:v>466481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F1-49F1-89B0-DE3FF6AE664E}"/>
            </c:ext>
          </c:extLst>
        </c:ser>
        <c:ser>
          <c:idx val="1"/>
          <c:order val="1"/>
          <c:tx>
            <c:v>Semi-Detached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'Property Type over Time (ENG)'!$A$2:$A$33</c:f>
              <c:numCache>
                <c:formatCode>m/d/yyyy</c:formatCode>
                <c:ptCount val="32"/>
                <c:pt idx="0">
                  <c:v>34700</c:v>
                </c:pt>
                <c:pt idx="1">
                  <c:v>35065</c:v>
                </c:pt>
                <c:pt idx="2">
                  <c:v>35431</c:v>
                </c:pt>
                <c:pt idx="3">
                  <c:v>35796</c:v>
                </c:pt>
                <c:pt idx="4">
                  <c:v>36161</c:v>
                </c:pt>
                <c:pt idx="5">
                  <c:v>36526</c:v>
                </c:pt>
                <c:pt idx="6">
                  <c:v>36892</c:v>
                </c:pt>
                <c:pt idx="7">
                  <c:v>37257</c:v>
                </c:pt>
                <c:pt idx="8">
                  <c:v>37622</c:v>
                </c:pt>
                <c:pt idx="9">
                  <c:v>37987</c:v>
                </c:pt>
                <c:pt idx="10">
                  <c:v>38353</c:v>
                </c:pt>
                <c:pt idx="11">
                  <c:v>38718</c:v>
                </c:pt>
                <c:pt idx="12">
                  <c:v>39083</c:v>
                </c:pt>
                <c:pt idx="13">
                  <c:v>39448</c:v>
                </c:pt>
                <c:pt idx="14">
                  <c:v>39814</c:v>
                </c:pt>
                <c:pt idx="15">
                  <c:v>40179</c:v>
                </c:pt>
                <c:pt idx="16">
                  <c:v>40544</c:v>
                </c:pt>
                <c:pt idx="17">
                  <c:v>40909</c:v>
                </c:pt>
                <c:pt idx="18">
                  <c:v>41275</c:v>
                </c:pt>
                <c:pt idx="19">
                  <c:v>41640</c:v>
                </c:pt>
                <c:pt idx="20">
                  <c:v>42005</c:v>
                </c:pt>
                <c:pt idx="21">
                  <c:v>42370</c:v>
                </c:pt>
                <c:pt idx="22">
                  <c:v>42736</c:v>
                </c:pt>
                <c:pt idx="23">
                  <c:v>43101</c:v>
                </c:pt>
                <c:pt idx="24">
                  <c:v>43466</c:v>
                </c:pt>
                <c:pt idx="25">
                  <c:v>43831</c:v>
                </c:pt>
                <c:pt idx="26">
                  <c:v>44197</c:v>
                </c:pt>
                <c:pt idx="27">
                  <c:v>44562</c:v>
                </c:pt>
                <c:pt idx="28">
                  <c:v>44927</c:v>
                </c:pt>
                <c:pt idx="29">
                  <c:v>45292</c:v>
                </c:pt>
                <c:pt idx="30">
                  <c:v>45658</c:v>
                </c:pt>
                <c:pt idx="31">
                  <c:v>46023</c:v>
                </c:pt>
              </c:numCache>
            </c:numRef>
          </c:cat>
          <c:val>
            <c:numRef>
              <c:f>'Property Type over Time (ENG)'!$C$2:$C$33</c:f>
              <c:numCache>
                <c:formatCode>General</c:formatCode>
                <c:ptCount val="32"/>
                <c:pt idx="0">
                  <c:v>49270</c:v>
                </c:pt>
                <c:pt idx="1">
                  <c:v>48723</c:v>
                </c:pt>
                <c:pt idx="2">
                  <c:v>51655</c:v>
                </c:pt>
                <c:pt idx="3">
                  <c:v>56727</c:v>
                </c:pt>
                <c:pt idx="4">
                  <c:v>60328</c:v>
                </c:pt>
                <c:pt idx="5">
                  <c:v>68022</c:v>
                </c:pt>
                <c:pt idx="6">
                  <c:v>75718</c:v>
                </c:pt>
                <c:pt idx="7">
                  <c:v>86215</c:v>
                </c:pt>
                <c:pt idx="8">
                  <c:v>108814</c:v>
                </c:pt>
                <c:pt idx="9">
                  <c:v>127387</c:v>
                </c:pt>
                <c:pt idx="10">
                  <c:v>144544</c:v>
                </c:pt>
                <c:pt idx="11">
                  <c:v>151665</c:v>
                </c:pt>
                <c:pt idx="12">
                  <c:v>164790</c:v>
                </c:pt>
                <c:pt idx="13">
                  <c:v>171617</c:v>
                </c:pt>
                <c:pt idx="14">
                  <c:v>145938</c:v>
                </c:pt>
                <c:pt idx="15">
                  <c:v>157380</c:v>
                </c:pt>
                <c:pt idx="16">
                  <c:v>156790</c:v>
                </c:pt>
                <c:pt idx="17">
                  <c:v>157222</c:v>
                </c:pt>
                <c:pt idx="18">
                  <c:v>159210</c:v>
                </c:pt>
                <c:pt idx="19">
                  <c:v>167351</c:v>
                </c:pt>
                <c:pt idx="20">
                  <c:v>179578</c:v>
                </c:pt>
                <c:pt idx="21">
                  <c:v>195412</c:v>
                </c:pt>
                <c:pt idx="22">
                  <c:v>204228</c:v>
                </c:pt>
                <c:pt idx="23">
                  <c:v>213943</c:v>
                </c:pt>
                <c:pt idx="24">
                  <c:v>218960</c:v>
                </c:pt>
                <c:pt idx="25">
                  <c:v>223383</c:v>
                </c:pt>
                <c:pt idx="26">
                  <c:v>239206</c:v>
                </c:pt>
                <c:pt idx="27">
                  <c:v>260243</c:v>
                </c:pt>
                <c:pt idx="28">
                  <c:v>277270</c:v>
                </c:pt>
                <c:pt idx="29">
                  <c:v>269879</c:v>
                </c:pt>
                <c:pt idx="30">
                  <c:v>280902</c:v>
                </c:pt>
                <c:pt idx="31">
                  <c:v>286826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F1-49F1-89B0-DE3FF6AE664E}"/>
            </c:ext>
          </c:extLst>
        </c:ser>
        <c:ser>
          <c:idx val="2"/>
          <c:order val="2"/>
          <c:tx>
            <c:v>Terraced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'Property Type over Time (ENG)'!$A$2:$A$33</c:f>
              <c:numCache>
                <c:formatCode>m/d/yyyy</c:formatCode>
                <c:ptCount val="32"/>
                <c:pt idx="0">
                  <c:v>34700</c:v>
                </c:pt>
                <c:pt idx="1">
                  <c:v>35065</c:v>
                </c:pt>
                <c:pt idx="2">
                  <c:v>35431</c:v>
                </c:pt>
                <c:pt idx="3">
                  <c:v>35796</c:v>
                </c:pt>
                <c:pt idx="4">
                  <c:v>36161</c:v>
                </c:pt>
                <c:pt idx="5">
                  <c:v>36526</c:v>
                </c:pt>
                <c:pt idx="6">
                  <c:v>36892</c:v>
                </c:pt>
                <c:pt idx="7">
                  <c:v>37257</c:v>
                </c:pt>
                <c:pt idx="8">
                  <c:v>37622</c:v>
                </c:pt>
                <c:pt idx="9">
                  <c:v>37987</c:v>
                </c:pt>
                <c:pt idx="10">
                  <c:v>38353</c:v>
                </c:pt>
                <c:pt idx="11">
                  <c:v>38718</c:v>
                </c:pt>
                <c:pt idx="12">
                  <c:v>39083</c:v>
                </c:pt>
                <c:pt idx="13">
                  <c:v>39448</c:v>
                </c:pt>
                <c:pt idx="14">
                  <c:v>39814</c:v>
                </c:pt>
                <c:pt idx="15">
                  <c:v>40179</c:v>
                </c:pt>
                <c:pt idx="16">
                  <c:v>40544</c:v>
                </c:pt>
                <c:pt idx="17">
                  <c:v>40909</c:v>
                </c:pt>
                <c:pt idx="18">
                  <c:v>41275</c:v>
                </c:pt>
                <c:pt idx="19">
                  <c:v>41640</c:v>
                </c:pt>
                <c:pt idx="20">
                  <c:v>42005</c:v>
                </c:pt>
                <c:pt idx="21">
                  <c:v>42370</c:v>
                </c:pt>
                <c:pt idx="22">
                  <c:v>42736</c:v>
                </c:pt>
                <c:pt idx="23">
                  <c:v>43101</c:v>
                </c:pt>
                <c:pt idx="24">
                  <c:v>43466</c:v>
                </c:pt>
                <c:pt idx="25">
                  <c:v>43831</c:v>
                </c:pt>
                <c:pt idx="26">
                  <c:v>44197</c:v>
                </c:pt>
                <c:pt idx="27">
                  <c:v>44562</c:v>
                </c:pt>
                <c:pt idx="28">
                  <c:v>44927</c:v>
                </c:pt>
                <c:pt idx="29">
                  <c:v>45292</c:v>
                </c:pt>
                <c:pt idx="30">
                  <c:v>45658</c:v>
                </c:pt>
                <c:pt idx="31">
                  <c:v>46023</c:v>
                </c:pt>
              </c:numCache>
            </c:numRef>
          </c:cat>
          <c:val>
            <c:numRef>
              <c:f>'Property Type over Time (ENG)'!$D$2:$D$33</c:f>
              <c:numCache>
                <c:formatCode>General</c:formatCode>
                <c:ptCount val="32"/>
                <c:pt idx="0">
                  <c:v>38864</c:v>
                </c:pt>
                <c:pt idx="1">
                  <c:v>37987</c:v>
                </c:pt>
                <c:pt idx="2">
                  <c:v>40546</c:v>
                </c:pt>
                <c:pt idx="3">
                  <c:v>44668</c:v>
                </c:pt>
                <c:pt idx="4">
                  <c:v>47041</c:v>
                </c:pt>
                <c:pt idx="5">
                  <c:v>53533</c:v>
                </c:pt>
                <c:pt idx="6">
                  <c:v>59492</c:v>
                </c:pt>
                <c:pt idx="7">
                  <c:v>67256</c:v>
                </c:pt>
                <c:pt idx="8">
                  <c:v>85768</c:v>
                </c:pt>
                <c:pt idx="9">
                  <c:v>100292</c:v>
                </c:pt>
                <c:pt idx="10">
                  <c:v>117653</c:v>
                </c:pt>
                <c:pt idx="11">
                  <c:v>126013</c:v>
                </c:pt>
                <c:pt idx="12">
                  <c:v>138738</c:v>
                </c:pt>
                <c:pt idx="13">
                  <c:v>145866</c:v>
                </c:pt>
                <c:pt idx="14">
                  <c:v>123101</c:v>
                </c:pt>
                <c:pt idx="15">
                  <c:v>133259</c:v>
                </c:pt>
                <c:pt idx="16">
                  <c:v>132197</c:v>
                </c:pt>
                <c:pt idx="17">
                  <c:v>132139</c:v>
                </c:pt>
                <c:pt idx="18">
                  <c:v>134426</c:v>
                </c:pt>
                <c:pt idx="19">
                  <c:v>143014</c:v>
                </c:pt>
                <c:pt idx="20">
                  <c:v>153738</c:v>
                </c:pt>
                <c:pt idx="21">
                  <c:v>166688</c:v>
                </c:pt>
                <c:pt idx="22">
                  <c:v>174227</c:v>
                </c:pt>
                <c:pt idx="23">
                  <c:v>181213</c:v>
                </c:pt>
                <c:pt idx="24">
                  <c:v>184021</c:v>
                </c:pt>
                <c:pt idx="25">
                  <c:v>188112</c:v>
                </c:pt>
                <c:pt idx="26">
                  <c:v>203782</c:v>
                </c:pt>
                <c:pt idx="27">
                  <c:v>220353</c:v>
                </c:pt>
                <c:pt idx="28">
                  <c:v>233635</c:v>
                </c:pt>
                <c:pt idx="29">
                  <c:v>228451</c:v>
                </c:pt>
                <c:pt idx="30">
                  <c:v>238187</c:v>
                </c:pt>
                <c:pt idx="31">
                  <c:v>242981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AF1-49F1-89B0-DE3FF6AE664E}"/>
            </c:ext>
          </c:extLst>
        </c:ser>
        <c:ser>
          <c:idx val="3"/>
          <c:order val="3"/>
          <c:tx>
            <c:v>Flat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'Property Type over Time (ENG)'!$A$2:$A$33</c:f>
              <c:numCache>
                <c:formatCode>m/d/yyyy</c:formatCode>
                <c:ptCount val="32"/>
                <c:pt idx="0">
                  <c:v>34700</c:v>
                </c:pt>
                <c:pt idx="1">
                  <c:v>35065</c:v>
                </c:pt>
                <c:pt idx="2">
                  <c:v>35431</c:v>
                </c:pt>
                <c:pt idx="3">
                  <c:v>35796</c:v>
                </c:pt>
                <c:pt idx="4">
                  <c:v>36161</c:v>
                </c:pt>
                <c:pt idx="5">
                  <c:v>36526</c:v>
                </c:pt>
                <c:pt idx="6">
                  <c:v>36892</c:v>
                </c:pt>
                <c:pt idx="7">
                  <c:v>37257</c:v>
                </c:pt>
                <c:pt idx="8">
                  <c:v>37622</c:v>
                </c:pt>
                <c:pt idx="9">
                  <c:v>37987</c:v>
                </c:pt>
                <c:pt idx="10">
                  <c:v>38353</c:v>
                </c:pt>
                <c:pt idx="11">
                  <c:v>38718</c:v>
                </c:pt>
                <c:pt idx="12">
                  <c:v>39083</c:v>
                </c:pt>
                <c:pt idx="13">
                  <c:v>39448</c:v>
                </c:pt>
                <c:pt idx="14">
                  <c:v>39814</c:v>
                </c:pt>
                <c:pt idx="15">
                  <c:v>40179</c:v>
                </c:pt>
                <c:pt idx="16">
                  <c:v>40544</c:v>
                </c:pt>
                <c:pt idx="17">
                  <c:v>40909</c:v>
                </c:pt>
                <c:pt idx="18">
                  <c:v>41275</c:v>
                </c:pt>
                <c:pt idx="19">
                  <c:v>41640</c:v>
                </c:pt>
                <c:pt idx="20">
                  <c:v>42005</c:v>
                </c:pt>
                <c:pt idx="21">
                  <c:v>42370</c:v>
                </c:pt>
                <c:pt idx="22">
                  <c:v>42736</c:v>
                </c:pt>
                <c:pt idx="23">
                  <c:v>43101</c:v>
                </c:pt>
                <c:pt idx="24">
                  <c:v>43466</c:v>
                </c:pt>
                <c:pt idx="25">
                  <c:v>43831</c:v>
                </c:pt>
                <c:pt idx="26">
                  <c:v>44197</c:v>
                </c:pt>
                <c:pt idx="27">
                  <c:v>44562</c:v>
                </c:pt>
                <c:pt idx="28">
                  <c:v>44927</c:v>
                </c:pt>
                <c:pt idx="29">
                  <c:v>45292</c:v>
                </c:pt>
                <c:pt idx="30">
                  <c:v>45658</c:v>
                </c:pt>
                <c:pt idx="31">
                  <c:v>46023</c:v>
                </c:pt>
              </c:numCache>
            </c:numRef>
          </c:cat>
          <c:val>
            <c:numRef>
              <c:f>'Property Type over Time (ENG)'!$E$2:$E$33</c:f>
              <c:numCache>
                <c:formatCode>General</c:formatCode>
                <c:ptCount val="32"/>
                <c:pt idx="0">
                  <c:v>40489</c:v>
                </c:pt>
                <c:pt idx="1">
                  <c:v>39871</c:v>
                </c:pt>
                <c:pt idx="2">
                  <c:v>42632</c:v>
                </c:pt>
                <c:pt idx="3">
                  <c:v>48180</c:v>
                </c:pt>
                <c:pt idx="4">
                  <c:v>52277</c:v>
                </c:pt>
                <c:pt idx="5">
                  <c:v>62035</c:v>
                </c:pt>
                <c:pt idx="6">
                  <c:v>71878</c:v>
                </c:pt>
                <c:pt idx="7">
                  <c:v>83349</c:v>
                </c:pt>
                <c:pt idx="8">
                  <c:v>105069</c:v>
                </c:pt>
                <c:pt idx="9">
                  <c:v>115815</c:v>
                </c:pt>
                <c:pt idx="10">
                  <c:v>128396</c:v>
                </c:pt>
                <c:pt idx="11">
                  <c:v>133147</c:v>
                </c:pt>
                <c:pt idx="12">
                  <c:v>145647</c:v>
                </c:pt>
                <c:pt idx="13">
                  <c:v>156523</c:v>
                </c:pt>
                <c:pt idx="14">
                  <c:v>131603</c:v>
                </c:pt>
                <c:pt idx="15">
                  <c:v>136816</c:v>
                </c:pt>
                <c:pt idx="16">
                  <c:v>137638</c:v>
                </c:pt>
                <c:pt idx="17">
                  <c:v>137837</c:v>
                </c:pt>
                <c:pt idx="18">
                  <c:v>141426</c:v>
                </c:pt>
                <c:pt idx="19">
                  <c:v>155299</c:v>
                </c:pt>
                <c:pt idx="20">
                  <c:v>170386</c:v>
                </c:pt>
                <c:pt idx="21">
                  <c:v>186191</c:v>
                </c:pt>
                <c:pt idx="22">
                  <c:v>197113</c:v>
                </c:pt>
                <c:pt idx="23">
                  <c:v>203591</c:v>
                </c:pt>
                <c:pt idx="24">
                  <c:v>200488</c:v>
                </c:pt>
                <c:pt idx="25">
                  <c:v>200542</c:v>
                </c:pt>
                <c:pt idx="26">
                  <c:v>211598</c:v>
                </c:pt>
                <c:pt idx="27">
                  <c:v>220816</c:v>
                </c:pt>
                <c:pt idx="28">
                  <c:v>227710</c:v>
                </c:pt>
                <c:pt idx="29">
                  <c:v>220935</c:v>
                </c:pt>
                <c:pt idx="30">
                  <c:v>223294</c:v>
                </c:pt>
                <c:pt idx="31">
                  <c:v>216836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AF1-49F1-89B0-DE3FF6AE66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2482736"/>
        <c:axId val="285157680"/>
      </c:barChart>
      <c:dateAx>
        <c:axId val="1424827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5157680"/>
        <c:crosses val="autoZero"/>
        <c:auto val="1"/>
        <c:lblOffset val="100"/>
        <c:baseTimeUnit val="years"/>
      </c:dateAx>
      <c:valAx>
        <c:axId val="28515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Price</a:t>
                </a:r>
                <a:r>
                  <a:rPr lang="en-US" baseline="0"/>
                  <a:t> in GBP (Thousands)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482736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Annual Average Bank of England Interest Rate from 1990 to 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Annual Average Bank of England Interest Rate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'BofE Average Interest Rate'!$A$2:$A$37</c:f>
              <c:numCache>
                <c:formatCode>General</c:formatCode>
                <c:ptCount val="36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  <c:pt idx="33">
                  <c:v>2023</c:v>
                </c:pt>
                <c:pt idx="34">
                  <c:v>2024</c:v>
                </c:pt>
                <c:pt idx="35">
                  <c:v>2025</c:v>
                </c:pt>
              </c:numCache>
            </c:numRef>
          </c:cat>
          <c:val>
            <c:numRef>
              <c:f>'BofE Average Interest Rate'!$B$2:$B$37</c:f>
              <c:numCache>
                <c:formatCode>General</c:formatCode>
                <c:ptCount val="36"/>
                <c:pt idx="0">
                  <c:v>14.6418</c:v>
                </c:pt>
                <c:pt idx="1">
                  <c:v>11.5588</c:v>
                </c:pt>
                <c:pt idx="2">
                  <c:v>9.4242000000000008</c:v>
                </c:pt>
                <c:pt idx="3">
                  <c:v>5.8849</c:v>
                </c:pt>
                <c:pt idx="4">
                  <c:v>5.3362999999999996</c:v>
                </c:pt>
                <c:pt idx="5">
                  <c:v>6.5704000000000002</c:v>
                </c:pt>
                <c:pt idx="6">
                  <c:v>5.8834</c:v>
                </c:pt>
                <c:pt idx="7">
                  <c:v>6.5481999999999996</c:v>
                </c:pt>
                <c:pt idx="8">
                  <c:v>7.2332000000000001</c:v>
                </c:pt>
                <c:pt idx="9">
                  <c:v>5.3403</c:v>
                </c:pt>
                <c:pt idx="10">
                  <c:v>5.9663000000000004</c:v>
                </c:pt>
                <c:pt idx="11">
                  <c:v>5.1234999999999999</c:v>
                </c:pt>
                <c:pt idx="12" formatCode="0">
                  <c:v>4</c:v>
                </c:pt>
                <c:pt idx="13">
                  <c:v>3.6917</c:v>
                </c:pt>
                <c:pt idx="14">
                  <c:v>4.3857999999999997</c:v>
                </c:pt>
                <c:pt idx="15">
                  <c:v>4.6467999999999998</c:v>
                </c:pt>
                <c:pt idx="16">
                  <c:v>4.6379000000000001</c:v>
                </c:pt>
                <c:pt idx="17">
                  <c:v>5.5128000000000004</c:v>
                </c:pt>
                <c:pt idx="18">
                  <c:v>4.6821000000000002</c:v>
                </c:pt>
                <c:pt idx="19">
                  <c:v>0.64229999999999998</c:v>
                </c:pt>
                <c:pt idx="20">
                  <c:v>0.5</c:v>
                </c:pt>
                <c:pt idx="21">
                  <c:v>0.5</c:v>
                </c:pt>
                <c:pt idx="22">
                  <c:v>0.5</c:v>
                </c:pt>
                <c:pt idx="23">
                  <c:v>0.5</c:v>
                </c:pt>
                <c:pt idx="24">
                  <c:v>0.5</c:v>
                </c:pt>
                <c:pt idx="25">
                  <c:v>0.5</c:v>
                </c:pt>
                <c:pt idx="26">
                  <c:v>0.3972</c:v>
                </c:pt>
                <c:pt idx="27">
                  <c:v>0.28970000000000001</c:v>
                </c:pt>
                <c:pt idx="28">
                  <c:v>0.6038</c:v>
                </c:pt>
                <c:pt idx="29" formatCode="0.00">
                  <c:v>0.75</c:v>
                </c:pt>
                <c:pt idx="30">
                  <c:v>0.22889999999999999</c:v>
                </c:pt>
                <c:pt idx="31">
                  <c:v>0.10589999999999999</c:v>
                </c:pt>
                <c:pt idx="32">
                  <c:v>1.466</c:v>
                </c:pt>
                <c:pt idx="33">
                  <c:v>4.6822999999999997</c:v>
                </c:pt>
                <c:pt idx="34">
                  <c:v>5.1093000000000002</c:v>
                </c:pt>
                <c:pt idx="35">
                  <c:v>4.2519999999999998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1BB-490D-940B-A0B84A231F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03895696"/>
        <c:axId val="285145680"/>
      </c:lineChart>
      <c:catAx>
        <c:axId val="303895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5145680"/>
        <c:crosses val="autoZero"/>
        <c:auto val="1"/>
        <c:lblAlgn val="ctr"/>
        <c:lblOffset val="100"/>
        <c:noMultiLvlLbl val="0"/>
      </c:catAx>
      <c:valAx>
        <c:axId val="285145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Annual Average Bank of England Interest Rate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3895696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r>
              <a:rPr lang="en-GB" sz="1050" b="1"/>
              <a:t>England student-loan borrowers and proportion married</a:t>
            </a:r>
            <a:r>
              <a:rPr lang="en-GB" sz="1050" b="1" baseline="0"/>
              <a:t> within </a:t>
            </a:r>
            <a:r>
              <a:rPr lang="en-GB" sz="1050" b="1"/>
              <a:t>ages 20–29</a:t>
            </a:r>
          </a:p>
          <a:p>
            <a:r>
              <a:rPr lang="en-GB" sz="850"/>
              <a:t>Pearson r = −0.9743    |    R² = 0.9493</a:t>
            </a:r>
          </a:p>
        </c:rich>
      </c:tx>
      <c:overlay val="0"/>
    </c:title>
    <c:autoTitleDeleted val="0"/>
    <c:plotArea>
      <c:layout/>
      <c:lineChart>
        <c:grouping val="standard"/>
        <c:varyColors val="1"/>
        <c:ser>
          <c:idx val="0"/>
          <c:order val="0"/>
          <c:tx>
            <c:v>Borrowers with loan balance</c:v>
          </c:tx>
          <c:spPr>
            <a:ln>
              <a:prstDash val="solid"/>
            </a:ln>
          </c:spPr>
          <c:marker>
            <c:symbol val="circle"/>
            <c:size val="5"/>
          </c:marker>
          <c:cat>
            <c:strRef>
              <c:f>'England Student Loans'!$A$2:$A$20</c:f>
              <c:strCache>
                <c:ptCount val="19"/>
                <c:pt idx="0">
                  <c:v>2006-07</c:v>
                </c:pt>
                <c:pt idx="1">
                  <c:v>2007-08</c:v>
                </c:pt>
                <c:pt idx="2">
                  <c:v>2008-09</c:v>
                </c:pt>
                <c:pt idx="3">
                  <c:v>2009-10</c:v>
                </c:pt>
                <c:pt idx="4">
                  <c:v>2010-11</c:v>
                </c:pt>
                <c:pt idx="5">
                  <c:v>2011-12</c:v>
                </c:pt>
                <c:pt idx="6">
                  <c:v>2012-13</c:v>
                </c:pt>
                <c:pt idx="7">
                  <c:v>2013-14</c:v>
                </c:pt>
                <c:pt idx="8">
                  <c:v>2014-15</c:v>
                </c:pt>
                <c:pt idx="9">
                  <c:v>2015-16</c:v>
                </c:pt>
                <c:pt idx="10">
                  <c:v>2016-17</c:v>
                </c:pt>
                <c:pt idx="11">
                  <c:v>2017-18</c:v>
                </c:pt>
                <c:pt idx="12">
                  <c:v>2018-19</c:v>
                </c:pt>
                <c:pt idx="13">
                  <c:v>2019-20</c:v>
                </c:pt>
                <c:pt idx="14">
                  <c:v>2020-21</c:v>
                </c:pt>
                <c:pt idx="15">
                  <c:v>2021-22</c:v>
                </c:pt>
                <c:pt idx="16">
                  <c:v>2022-23</c:v>
                </c:pt>
                <c:pt idx="17">
                  <c:v>2023-24</c:v>
                </c:pt>
                <c:pt idx="18">
                  <c:v>2024-25</c:v>
                </c:pt>
              </c:strCache>
            </c:strRef>
          </c:cat>
          <c:val>
            <c:numRef>
              <c:f>'England Student Loans'!$B$2:$B$20</c:f>
              <c:numCache>
                <c:formatCode>#,##0</c:formatCode>
                <c:ptCount val="19"/>
                <c:pt idx="0">
                  <c:v>1273193</c:v>
                </c:pt>
                <c:pt idx="1">
                  <c:v>1480337</c:v>
                </c:pt>
                <c:pt idx="2">
                  <c:v>1689100</c:v>
                </c:pt>
                <c:pt idx="3">
                  <c:v>1907195</c:v>
                </c:pt>
                <c:pt idx="4">
                  <c:v>2125746</c:v>
                </c:pt>
                <c:pt idx="5">
                  <c:v>2346948</c:v>
                </c:pt>
                <c:pt idx="6">
                  <c:v>2566670</c:v>
                </c:pt>
                <c:pt idx="7">
                  <c:v>2784738</c:v>
                </c:pt>
                <c:pt idx="8">
                  <c:v>2983435</c:v>
                </c:pt>
                <c:pt idx="9">
                  <c:v>3372925</c:v>
                </c:pt>
                <c:pt idx="10">
                  <c:v>3634432</c:v>
                </c:pt>
                <c:pt idx="11">
                  <c:v>3923146</c:v>
                </c:pt>
                <c:pt idx="12">
                  <c:v>4240927</c:v>
                </c:pt>
                <c:pt idx="13">
                  <c:v>4359679</c:v>
                </c:pt>
                <c:pt idx="14">
                  <c:v>4628885</c:v>
                </c:pt>
                <c:pt idx="15">
                  <c:v>4914792</c:v>
                </c:pt>
                <c:pt idx="16">
                  <c:v>5150948</c:v>
                </c:pt>
                <c:pt idx="17">
                  <c:v>5373360</c:v>
                </c:pt>
                <c:pt idx="18">
                  <c:v>5596680</c:v>
                </c:pt>
              </c:numCache>
            </c:numRef>
          </c:val>
          <c:smooth val="0"/>
          <c:extLst xmlns:ns2="http://schemas.microsoft.com/office/drawing/2014/chart">
            <c:ext xmlns:c16="http://schemas.microsoft.com/office/drawing/2014/chart" uri="{C3380CC4-5D6E-409C-BE32-E72D297353CC}">
              <c16:uniqueId val="{00000000-54B9-4945-9BFF-69680F13BB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650112"/>
        <c:axId val="48672768"/>
      </c:lineChart>
      <c:lineChart>
        <c:grouping val="standard"/>
        <c:varyColors val="1"/>
        <c:ser>
          <c:idx val="1"/>
          <c:order val="1"/>
          <c:tx>
            <c:v>Married or civil partnered, ages 20–29</c:v>
          </c:tx>
          <c:spPr>
            <a:ln>
              <a:prstDash val="solid"/>
            </a:ln>
          </c:spPr>
          <c:marker>
            <c:symbol val="diamond"/>
            <c:size val="6"/>
          </c:marker>
          <c:cat>
            <c:strRef>
              <c:f>'England Student Loans'!$A$2:$A$20</c:f>
              <c:strCache>
                <c:ptCount val="19"/>
                <c:pt idx="0">
                  <c:v>2006-07</c:v>
                </c:pt>
                <c:pt idx="1">
                  <c:v>2007-08</c:v>
                </c:pt>
                <c:pt idx="2">
                  <c:v>2008-09</c:v>
                </c:pt>
                <c:pt idx="3">
                  <c:v>2009-10</c:v>
                </c:pt>
                <c:pt idx="4">
                  <c:v>2010-11</c:v>
                </c:pt>
                <c:pt idx="5">
                  <c:v>2011-12</c:v>
                </c:pt>
                <c:pt idx="6">
                  <c:v>2012-13</c:v>
                </c:pt>
                <c:pt idx="7">
                  <c:v>2013-14</c:v>
                </c:pt>
                <c:pt idx="8">
                  <c:v>2014-15</c:v>
                </c:pt>
                <c:pt idx="9">
                  <c:v>2015-16</c:v>
                </c:pt>
                <c:pt idx="10">
                  <c:v>2016-17</c:v>
                </c:pt>
                <c:pt idx="11">
                  <c:v>2017-18</c:v>
                </c:pt>
                <c:pt idx="12">
                  <c:v>2018-19</c:v>
                </c:pt>
                <c:pt idx="13">
                  <c:v>2019-20</c:v>
                </c:pt>
                <c:pt idx="14">
                  <c:v>2020-21</c:v>
                </c:pt>
                <c:pt idx="15">
                  <c:v>2021-22</c:v>
                </c:pt>
                <c:pt idx="16">
                  <c:v>2022-23</c:v>
                </c:pt>
                <c:pt idx="17">
                  <c:v>2023-24</c:v>
                </c:pt>
                <c:pt idx="18">
                  <c:v>2024-25</c:v>
                </c:pt>
              </c:strCache>
            </c:strRef>
          </c:cat>
          <c:val>
            <c:numRef>
              <c:f>'England Student Loans'!$C$2:$C$20</c:f>
              <c:numCache>
                <c:formatCode>0.0%</c:formatCode>
                <c:ptCount val="19"/>
                <c:pt idx="0">
                  <c:v>0.17129891359999999</c:v>
                </c:pt>
                <c:pt idx="1">
                  <c:v>0.1731265726</c:v>
                </c:pt>
                <c:pt idx="2">
                  <c:v>0.17736264660000001</c:v>
                </c:pt>
                <c:pt idx="3">
                  <c:v>0.16961562690000001</c:v>
                </c:pt>
                <c:pt idx="4">
                  <c:v>0.16413992590000001</c:v>
                </c:pt>
                <c:pt idx="5">
                  <c:v>0.15454633149999999</c:v>
                </c:pt>
                <c:pt idx="6">
                  <c:v>0.1491144197</c:v>
                </c:pt>
                <c:pt idx="7">
                  <c:v>0.14931712189999999</c:v>
                </c:pt>
                <c:pt idx="8">
                  <c:v>0.14154658610000001</c:v>
                </c:pt>
                <c:pt idx="9">
                  <c:v>0.13367527069999999</c:v>
                </c:pt>
                <c:pt idx="10">
                  <c:v>0.1353388677</c:v>
                </c:pt>
                <c:pt idx="11">
                  <c:v>0.13595307710000001</c:v>
                </c:pt>
                <c:pt idx="12">
                  <c:v>0.12456086349999999</c:v>
                </c:pt>
                <c:pt idx="13">
                  <c:v>0.1251096569</c:v>
                </c:pt>
                <c:pt idx="14">
                  <c:v>0.1200915877</c:v>
                </c:pt>
                <c:pt idx="15">
                  <c:v>9.2991009200000002E-2</c:v>
                </c:pt>
                <c:pt idx="16">
                  <c:v>0.1033440289</c:v>
                </c:pt>
                <c:pt idx="17">
                  <c:v>9.6048688100000001E-2</c:v>
                </c:pt>
                <c:pt idx="18">
                  <c:v>0.10367374460000001</c:v>
                </c:pt>
              </c:numCache>
            </c:numRef>
          </c:val>
          <c:smooth val="0"/>
          <c:extLst xmlns:ns2="http://schemas.microsoft.com/office/drawing/2014/chart">
            <c:ext xmlns:c16="http://schemas.microsoft.com/office/drawing/2014/chart" uri="{C3380CC4-5D6E-409C-BE32-E72D297353CC}">
              <c16:uniqueId val="{00000001-54B9-4945-9BFF-69680F13BB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651112"/>
        <c:axId val="48673768"/>
      </c:lineChart>
      <c:catAx>
        <c:axId val="48650112"/>
        <c:scaling>
          <c:orientation val="minMax"/>
        </c:scaling>
        <c:delete val="0"/>
        <c:axPos val="b"/>
        <c:majorGridlines>
          <c:spPr>
            <a:ln w="9525">
              <a:solidFill>
                <a:srgbClr val="CCCCCC"/>
              </a:solidFill>
              <a:prstDash val="dash"/>
            </a:ln>
          </c:spPr>
        </c:majorGridlines>
        <c:title>
          <c:tx>
            <c:rich>
              <a:bodyPr/>
              <a:lstStyle/>
              <a:p>
                <a:r>
                  <a:rPr lang="en-GB"/>
                  <a:t>Financial year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anchorCtr="1"/>
          <a:lstStyle/>
          <a:p>
            <a:pPr>
              <a:defRPr sz="600"/>
            </a:pPr>
            <a:endParaRPr lang="en-US"/>
          </a:p>
        </c:txPr>
        <c:crossAx val="48672768"/>
        <c:crosses val="autoZero"/>
        <c:auto val="1"/>
        <c:lblAlgn val="ctr"/>
        <c:lblOffset val="100"/>
        <c:tickLblSkip val="2"/>
        <c:noMultiLvlLbl val="0"/>
      </c:catAx>
      <c:valAx>
        <c:axId val="48672768"/>
        <c:scaling>
          <c:orientation val="minMax"/>
        </c:scaling>
        <c:delete val="0"/>
        <c:axPos val="l"/>
        <c:majorGridlines>
          <c:spPr>
            <a:ln w="9525">
              <a:solidFill>
                <a:srgbClr val="CCCCCC"/>
              </a:solidFill>
              <a:prstDash val="dash"/>
            </a:ln>
          </c:spPr>
        </c:majorGridlines>
        <c:title>
          <c:tx>
            <c:rich>
              <a:bodyPr/>
              <a:lstStyle/>
              <a:p>
                <a:r>
                  <a:rPr lang="en-GB"/>
                  <a:t>Borrowers</a:t>
                </a:r>
              </a:p>
            </c:rich>
          </c:tx>
          <c:overlay val="0"/>
        </c:title>
        <c:numFmt formatCode="#,##0" sourceLinked="0"/>
        <c:majorTickMark val="none"/>
        <c:minorTickMark val="none"/>
        <c:tickLblPos val="nextTo"/>
        <c:crossAx val="48650112"/>
        <c:crosses val="autoZero"/>
        <c:crossBetween val="between"/>
      </c:valAx>
      <c:catAx>
        <c:axId val="48651112"/>
        <c:scaling>
          <c:orientation val="minMax"/>
        </c:scaling>
        <c:delete val="1"/>
        <c:axPos val="b"/>
        <c:numFmt formatCode="General" sourceLinked="1"/>
        <c:majorTickMark val="cross"/>
        <c:minorTickMark val="cross"/>
        <c:tickLblPos val="nextTo"/>
        <c:crossAx val="48673768"/>
        <c:crosses val="autoZero"/>
        <c:auto val="1"/>
        <c:lblAlgn val="ctr"/>
        <c:lblOffset val="100"/>
        <c:noMultiLvlLbl val="0"/>
      </c:catAx>
      <c:valAx>
        <c:axId val="48673768"/>
        <c:scaling>
          <c:orientation val="minMax"/>
          <c:max val="0.2"/>
          <c:min val="0.08"/>
        </c:scaling>
        <c:delete val="0"/>
        <c:axPos val="r"/>
        <c:title>
          <c:tx>
            <c:rich>
              <a:bodyPr/>
              <a:lstStyle/>
              <a:p>
                <a:r>
                  <a:rPr lang="en-GB"/>
                  <a:t>Proportion married or civil partnered</a:t>
                </a:r>
              </a:p>
            </c:rich>
          </c:tx>
          <c:overlay val="0"/>
        </c:title>
        <c:numFmt formatCode="0%" sourceLinked="0"/>
        <c:majorTickMark val="none"/>
        <c:minorTickMark val="none"/>
        <c:tickLblPos val="nextTo"/>
        <c:crossAx val="48651112"/>
        <c:crosses val="max"/>
        <c:crossBetween val="between"/>
        <c:majorUnit val="0.02"/>
      </c:valAx>
    </c:plotArea>
    <c:legend>
      <c:legendPos val="b"/>
      <c:overlay val="0"/>
    </c:legend>
    <c:plotVisOnly val="1"/>
    <c:dispBlanksAs val="zero"/>
    <c:showDLblsOverMax val="1"/>
  </c:chart>
  <c:spPr>
    <a:ln w="9525">
      <a:solidFill>
        <a:srgbClr val="D9D9D9"/>
      </a:solidFill>
      <a:prstDash val="solid"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r>
              <a:rPr lang="en-GB" sz="1050" b="1"/>
              <a:t>England student-loan borrowers versus</a:t>
            </a:r>
            <a:r>
              <a:rPr lang="en-GB" sz="1050" b="1" baseline="0"/>
              <a:t> fertility within</a:t>
            </a:r>
            <a:r>
              <a:rPr lang="en-GB" sz="1050" b="1"/>
              <a:t> ages 20–29</a:t>
            </a:r>
          </a:p>
          <a:p>
            <a:r>
              <a:rPr lang="en-GB" sz="850"/>
              <a:t>Pearson r = −0.9662    |    R² = 0.9335</a:t>
            </a:r>
          </a:p>
        </c:rich>
      </c:tx>
      <c:overlay val="0"/>
    </c:title>
    <c:autoTitleDeleted val="0"/>
    <c:plotArea>
      <c:layout/>
      <c:lineChart>
        <c:grouping val="standard"/>
        <c:varyColors val="1"/>
        <c:ser>
          <c:idx val="0"/>
          <c:order val="0"/>
          <c:tx>
            <c:v>Borrowers with loan balance</c:v>
          </c:tx>
          <c:spPr>
            <a:ln>
              <a:prstDash val="solid"/>
            </a:ln>
          </c:spPr>
          <c:marker>
            <c:symbol val="circle"/>
            <c:size val="5"/>
          </c:marker>
          <c:cat>
            <c:strRef>
              <c:f>'England Student Loans'!$A$2:$A$20</c:f>
              <c:strCache>
                <c:ptCount val="19"/>
                <c:pt idx="0">
                  <c:v>2006-07</c:v>
                </c:pt>
                <c:pt idx="1">
                  <c:v>2007-08</c:v>
                </c:pt>
                <c:pt idx="2">
                  <c:v>2008-09</c:v>
                </c:pt>
                <c:pt idx="3">
                  <c:v>2009-10</c:v>
                </c:pt>
                <c:pt idx="4">
                  <c:v>2010-11</c:v>
                </c:pt>
                <c:pt idx="5">
                  <c:v>2011-12</c:v>
                </c:pt>
                <c:pt idx="6">
                  <c:v>2012-13</c:v>
                </c:pt>
                <c:pt idx="7">
                  <c:v>2013-14</c:v>
                </c:pt>
                <c:pt idx="8">
                  <c:v>2014-15</c:v>
                </c:pt>
                <c:pt idx="9">
                  <c:v>2015-16</c:v>
                </c:pt>
                <c:pt idx="10">
                  <c:v>2016-17</c:v>
                </c:pt>
                <c:pt idx="11">
                  <c:v>2017-18</c:v>
                </c:pt>
                <c:pt idx="12">
                  <c:v>2018-19</c:v>
                </c:pt>
                <c:pt idx="13">
                  <c:v>2019-20</c:v>
                </c:pt>
                <c:pt idx="14">
                  <c:v>2020-21</c:v>
                </c:pt>
                <c:pt idx="15">
                  <c:v>2021-22</c:v>
                </c:pt>
                <c:pt idx="16">
                  <c:v>2022-23</c:v>
                </c:pt>
                <c:pt idx="17">
                  <c:v>2023-24</c:v>
                </c:pt>
                <c:pt idx="18">
                  <c:v>2024-25</c:v>
                </c:pt>
              </c:strCache>
            </c:strRef>
          </c:cat>
          <c:val>
            <c:numRef>
              <c:f>'England Student Loans'!$B$2:$B$20</c:f>
              <c:numCache>
                <c:formatCode>#,##0</c:formatCode>
                <c:ptCount val="19"/>
                <c:pt idx="0">
                  <c:v>1273193</c:v>
                </c:pt>
                <c:pt idx="1">
                  <c:v>1480337</c:v>
                </c:pt>
                <c:pt idx="2">
                  <c:v>1689100</c:v>
                </c:pt>
                <c:pt idx="3">
                  <c:v>1907195</c:v>
                </c:pt>
                <c:pt idx="4">
                  <c:v>2125746</c:v>
                </c:pt>
                <c:pt idx="5">
                  <c:v>2346948</c:v>
                </c:pt>
                <c:pt idx="6">
                  <c:v>2566670</c:v>
                </c:pt>
                <c:pt idx="7">
                  <c:v>2784738</c:v>
                </c:pt>
                <c:pt idx="8">
                  <c:v>2983435</c:v>
                </c:pt>
                <c:pt idx="9">
                  <c:v>3372925</c:v>
                </c:pt>
                <c:pt idx="10">
                  <c:v>3634432</c:v>
                </c:pt>
                <c:pt idx="11">
                  <c:v>3923146</c:v>
                </c:pt>
                <c:pt idx="12">
                  <c:v>4240927</c:v>
                </c:pt>
                <c:pt idx="13">
                  <c:v>4359679</c:v>
                </c:pt>
                <c:pt idx="14">
                  <c:v>4628885</c:v>
                </c:pt>
                <c:pt idx="15">
                  <c:v>4914792</c:v>
                </c:pt>
                <c:pt idx="16">
                  <c:v>5150948</c:v>
                </c:pt>
                <c:pt idx="17">
                  <c:v>5373360</c:v>
                </c:pt>
                <c:pt idx="18">
                  <c:v>5596680</c:v>
                </c:pt>
              </c:numCache>
            </c:numRef>
          </c:val>
          <c:smooth val="0"/>
          <c:extLst xmlns:ns2="http://schemas.microsoft.com/office/drawing/2014/chart">
            <c:ext xmlns:c16="http://schemas.microsoft.com/office/drawing/2014/chart" uri="{C3380CC4-5D6E-409C-BE32-E72D297353CC}">
              <c16:uniqueId val="{00000000-3100-4B88-9B8B-F337E4DCA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650112"/>
        <c:axId val="48672768"/>
      </c:lineChart>
      <c:lineChart>
        <c:grouping val="standard"/>
        <c:varyColors val="1"/>
        <c:ser>
          <c:idx val="1"/>
          <c:order val="1"/>
          <c:tx>
            <c:v>Partial TFR contribution, ages 20–29</c:v>
          </c:tx>
          <c:spPr>
            <a:ln>
              <a:prstDash val="solid"/>
            </a:ln>
          </c:spPr>
          <c:marker>
            <c:symbol val="diamond"/>
            <c:size val="6"/>
          </c:marker>
          <c:cat>
            <c:strRef>
              <c:f>'England Student Loans'!$A$2:$A$20</c:f>
              <c:strCache>
                <c:ptCount val="19"/>
                <c:pt idx="0">
                  <c:v>2006-07</c:v>
                </c:pt>
                <c:pt idx="1">
                  <c:v>2007-08</c:v>
                </c:pt>
                <c:pt idx="2">
                  <c:v>2008-09</c:v>
                </c:pt>
                <c:pt idx="3">
                  <c:v>2009-10</c:v>
                </c:pt>
                <c:pt idx="4">
                  <c:v>2010-11</c:v>
                </c:pt>
                <c:pt idx="5">
                  <c:v>2011-12</c:v>
                </c:pt>
                <c:pt idx="6">
                  <c:v>2012-13</c:v>
                </c:pt>
                <c:pt idx="7">
                  <c:v>2013-14</c:v>
                </c:pt>
                <c:pt idx="8">
                  <c:v>2014-15</c:v>
                </c:pt>
                <c:pt idx="9">
                  <c:v>2015-16</c:v>
                </c:pt>
                <c:pt idx="10">
                  <c:v>2016-17</c:v>
                </c:pt>
                <c:pt idx="11">
                  <c:v>2017-18</c:v>
                </c:pt>
                <c:pt idx="12">
                  <c:v>2018-19</c:v>
                </c:pt>
                <c:pt idx="13">
                  <c:v>2019-20</c:v>
                </c:pt>
                <c:pt idx="14">
                  <c:v>2020-21</c:v>
                </c:pt>
                <c:pt idx="15">
                  <c:v>2021-22</c:v>
                </c:pt>
                <c:pt idx="16">
                  <c:v>2022-23</c:v>
                </c:pt>
                <c:pt idx="17">
                  <c:v>2023-24</c:v>
                </c:pt>
                <c:pt idx="18">
                  <c:v>2024-25</c:v>
                </c:pt>
              </c:strCache>
            </c:strRef>
          </c:cat>
          <c:val>
            <c:numRef>
              <c:f>'England Student Loans'!$D$2:$D$20</c:f>
              <c:numCache>
                <c:formatCode>0.000</c:formatCode>
                <c:ptCount val="19"/>
                <c:pt idx="0">
                  <c:v>0.85</c:v>
                </c:pt>
                <c:pt idx="1">
                  <c:v>0.86350000000000005</c:v>
                </c:pt>
                <c:pt idx="2">
                  <c:v>0.88549999999999995</c:v>
                </c:pt>
                <c:pt idx="3">
                  <c:v>0.88149999999999995</c:v>
                </c:pt>
                <c:pt idx="4">
                  <c:v>0.89100000000000001</c:v>
                </c:pt>
                <c:pt idx="5">
                  <c:v>0.87949999999999995</c:v>
                </c:pt>
                <c:pt idx="6">
                  <c:v>0.87250000000000005</c:v>
                </c:pt>
                <c:pt idx="7">
                  <c:v>0.81850000000000001</c:v>
                </c:pt>
                <c:pt idx="8">
                  <c:v>0.79400000000000004</c:v>
                </c:pt>
                <c:pt idx="9">
                  <c:v>0.78149999999999997</c:v>
                </c:pt>
                <c:pt idx="10">
                  <c:v>0.75449999999999995</c:v>
                </c:pt>
                <c:pt idx="11">
                  <c:v>0.72499999999999998</c:v>
                </c:pt>
                <c:pt idx="12">
                  <c:v>0.6875</c:v>
                </c:pt>
                <c:pt idx="13">
                  <c:v>0.66149999999999998</c:v>
                </c:pt>
                <c:pt idx="14">
                  <c:v>0.63</c:v>
                </c:pt>
                <c:pt idx="15">
                  <c:v>0.62350000000000005</c:v>
                </c:pt>
                <c:pt idx="16">
                  <c:v>0.6</c:v>
                </c:pt>
                <c:pt idx="17">
                  <c:v>0.56799999999999995</c:v>
                </c:pt>
                <c:pt idx="18">
                  <c:v>0.55649999999999999</c:v>
                </c:pt>
              </c:numCache>
            </c:numRef>
          </c:val>
          <c:smooth val="0"/>
          <c:extLst xmlns:ns2="http://schemas.microsoft.com/office/drawing/2014/chart">
            <c:ext xmlns:c16="http://schemas.microsoft.com/office/drawing/2014/chart" uri="{C3380CC4-5D6E-409C-BE32-E72D297353CC}">
              <c16:uniqueId val="{00000001-3100-4B88-9B8B-F337E4DCA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651112"/>
        <c:axId val="48673768"/>
      </c:lineChart>
      <c:catAx>
        <c:axId val="48650112"/>
        <c:scaling>
          <c:orientation val="minMax"/>
        </c:scaling>
        <c:delete val="0"/>
        <c:axPos val="b"/>
        <c:majorGridlines>
          <c:spPr>
            <a:ln w="9525">
              <a:solidFill>
                <a:srgbClr val="CCCCCC"/>
              </a:solidFill>
              <a:prstDash val="dash"/>
            </a:ln>
          </c:spPr>
        </c:majorGridlines>
        <c:title>
          <c:tx>
            <c:rich>
              <a:bodyPr/>
              <a:lstStyle/>
              <a:p>
                <a:r>
                  <a:rPr lang="en-GB"/>
                  <a:t>Financial year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anchorCtr="1"/>
          <a:lstStyle/>
          <a:p>
            <a:pPr>
              <a:defRPr sz="600"/>
            </a:pPr>
            <a:endParaRPr lang="en-US"/>
          </a:p>
        </c:txPr>
        <c:crossAx val="48672768"/>
        <c:crosses val="autoZero"/>
        <c:auto val="1"/>
        <c:lblAlgn val="ctr"/>
        <c:lblOffset val="100"/>
        <c:tickLblSkip val="2"/>
        <c:noMultiLvlLbl val="0"/>
      </c:catAx>
      <c:valAx>
        <c:axId val="48672768"/>
        <c:scaling>
          <c:orientation val="minMax"/>
        </c:scaling>
        <c:delete val="0"/>
        <c:axPos val="l"/>
        <c:majorGridlines>
          <c:spPr>
            <a:ln w="9525">
              <a:solidFill>
                <a:srgbClr val="CCCCCC"/>
              </a:solidFill>
              <a:prstDash val="dash"/>
            </a:ln>
          </c:spPr>
        </c:majorGridlines>
        <c:title>
          <c:tx>
            <c:rich>
              <a:bodyPr/>
              <a:lstStyle/>
              <a:p>
                <a:r>
                  <a:rPr lang="en-GB"/>
                  <a:t>Borrowers</a:t>
                </a:r>
              </a:p>
            </c:rich>
          </c:tx>
          <c:overlay val="0"/>
        </c:title>
        <c:numFmt formatCode="#,##0" sourceLinked="0"/>
        <c:majorTickMark val="none"/>
        <c:minorTickMark val="none"/>
        <c:tickLblPos val="nextTo"/>
        <c:crossAx val="48650112"/>
        <c:crosses val="autoZero"/>
        <c:crossBetween val="between"/>
      </c:valAx>
      <c:catAx>
        <c:axId val="48651112"/>
        <c:scaling>
          <c:orientation val="minMax"/>
        </c:scaling>
        <c:delete val="1"/>
        <c:axPos val="b"/>
        <c:numFmt formatCode="General" sourceLinked="1"/>
        <c:majorTickMark val="cross"/>
        <c:minorTickMark val="cross"/>
        <c:tickLblPos val="nextTo"/>
        <c:crossAx val="48673768"/>
        <c:crosses val="autoZero"/>
        <c:auto val="1"/>
        <c:lblAlgn val="ctr"/>
        <c:lblOffset val="100"/>
        <c:noMultiLvlLbl val="0"/>
      </c:catAx>
      <c:valAx>
        <c:axId val="48673768"/>
        <c:scaling>
          <c:orientation val="minMax"/>
          <c:max val="0.95"/>
          <c:min val="0.5"/>
        </c:scaling>
        <c:delete val="0"/>
        <c:axPos val="r"/>
        <c:title>
          <c:tx>
            <c:rich>
              <a:bodyPr/>
              <a:lstStyle/>
              <a:p>
                <a:r>
                  <a:rPr lang="en-GB"/>
                  <a:t>Fertility</a:t>
                </a:r>
                <a:r>
                  <a:rPr lang="en-GB" baseline="0"/>
                  <a:t> Rate</a:t>
                </a:r>
                <a:r>
                  <a:rPr lang="en-GB"/>
                  <a:t>, ages 20–29</a:t>
                </a:r>
              </a:p>
            </c:rich>
          </c:tx>
          <c:layout>
            <c:manualLayout>
              <c:xMode val="edge"/>
              <c:yMode val="edge"/>
              <c:x val="0.87724351872368711"/>
              <c:y val="8.2413804983176325E-2"/>
            </c:manualLayout>
          </c:layout>
          <c:overlay val="0"/>
        </c:title>
        <c:numFmt formatCode="0.00" sourceLinked="0"/>
        <c:majorTickMark val="none"/>
        <c:minorTickMark val="none"/>
        <c:tickLblPos val="nextTo"/>
        <c:crossAx val="48651112"/>
        <c:crosses val="max"/>
        <c:crossBetween val="between"/>
        <c:majorUnit val="0.05"/>
      </c:valAx>
    </c:plotArea>
    <c:legend>
      <c:legendPos val="b"/>
      <c:overlay val="0"/>
    </c:legend>
    <c:plotVisOnly val="1"/>
    <c:dispBlanksAs val="zero"/>
    <c:showDLblsOverMax val="1"/>
  </c:chart>
  <c:spPr>
    <a:ln w="9525">
      <a:solidFill>
        <a:srgbClr val="D9D9D9"/>
      </a:solidFill>
      <a:prstDash val="solid"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713</Words>
  <Characters>4069</Characters>
  <Application>Microsoft Office Word</Application>
  <DocSecurity>4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Carroll</dc:creator>
  <cp:keywords/>
  <dc:description/>
  <cp:lastModifiedBy>Patrick Carroll</cp:lastModifiedBy>
  <cp:revision>124</cp:revision>
  <dcterms:created xsi:type="dcterms:W3CDTF">2026-08-14T17:26:00Z</dcterms:created>
  <dcterms:modified xsi:type="dcterms:W3CDTF">2026-08-21T09:53:00Z</dcterms:modified>
</cp:coreProperties>
</file>